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附件:</w:t>
      </w:r>
    </w:p>
    <w:p>
      <w:pPr>
        <w:spacing w:line="55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“开放量服”互动空间残疾人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就业创业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服务</w:t>
      </w: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比选评分细则</w:t>
      </w:r>
      <w:bookmarkEnd w:id="0"/>
    </w:p>
    <w:p>
      <w:pPr>
        <w:spacing w:line="55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1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709"/>
        <w:gridCol w:w="510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评审内容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及分值</w:t>
            </w:r>
          </w:p>
        </w:tc>
        <w:tc>
          <w:tcPr>
            <w:tcW w:w="5103" w:type="dxa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评分标准</w:t>
            </w:r>
          </w:p>
        </w:tc>
        <w:tc>
          <w:tcPr>
            <w:tcW w:w="1559" w:type="dxa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业绩及综合实力（15分）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基础分（10分）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比选单位达到比选公告比选申请资格基本要求得10分；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累计加分最高不超过5分，该项累计分最高不超过15分。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加分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（5分）</w:t>
            </w:r>
          </w:p>
        </w:tc>
        <w:tc>
          <w:tcPr>
            <w:tcW w:w="5103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1.有2年以上（含2年）服务政府机关经历的，加0.5-1分；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2.近三年有三个以上残疾人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就业创业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服务相关工作案例的，加0.5-1分；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3.近5年内，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比选单位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获得国家相关奖项的加3分、获得省级相关奖项的加2分，获得市级各类奖项的加1分（国家、省级、市级获得奖项不累计加分，只选者最高项加分）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工作方案（60分）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基础分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（42分）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残疾人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就业创业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服务方案基本达到比选公告服务项目内容的要求，内容完善、全面。比选方案内容涵盖比选公告项目内容要求第一条得6分；涵盖第二条得30分；涵盖第三条得6分。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累计加分最高不超过18分，该项累计分最高不得超过60分。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加分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（18分）</w:t>
            </w:r>
          </w:p>
        </w:tc>
        <w:tc>
          <w:tcPr>
            <w:tcW w:w="5103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根据内容的合理性、完善性、创新性、可靠实用性适当加分。比选公告项目内容要求第一条加分最高不超过4分；第二条加分最高不超过10分；第三条加分最高不超过4分。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服务团队人员配置（10分）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基础分为（6分）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服务团队拟匹配的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数量及资格条件达到比选公告中服务要求的得6分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累计加分最高不超过4分，该项累计分最高不超过10分。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加分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（4分）</w:t>
            </w:r>
          </w:p>
        </w:tc>
        <w:tc>
          <w:tcPr>
            <w:tcW w:w="5103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核心成员是法人或合伙人，适当加分不超过0.5分；团队核心成员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中有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instrText xml:space="preserve"> HYPERLINK "https://baike.so.com/doc/2243656-2373899.html" \t "https://baike.so.com/doc/_blank" </w:instrTex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t>职业指导员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t>(国家职业资格四级)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适当加分不超过0.5分；团队核心成员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中有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t>助理职业指导师(国家职业资格三级)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三级创业咨询师（国家职业资格三级），适当加分不超过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分；团队核心成员中有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t>职业指导师(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instrText xml:space="preserve"> HYPERLINK "https://baike.so.com/doc/6731745-6946046.html" \t "https://baike.so.com/doc/_blank" </w:instrText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t>国家职业资格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t>二级)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二级创业咨询师（国家职业资格二级）的，适当加分不超过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团队核心成员中有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</w:rPr>
              <w:t>高级职业指导师(国家职业资格一级)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适当加分不超过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公益活动（5分）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基础分（3分）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2015年以来，参加过社区、街道或街道以上党政机关举办的公益活动的加3分。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该项加分最高不超过2分，该项累计分最高不得超过5分。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加分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（2分）</w:t>
            </w:r>
          </w:p>
        </w:tc>
        <w:tc>
          <w:tcPr>
            <w:tcW w:w="5103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参加公益活动获得相关表扬的，根据活动及受表扬次数适当加分，加分最高不超过2分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534" w:type="dxa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报价（10分）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基础分</w:t>
            </w:r>
          </w:p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（8分）</w:t>
            </w:r>
          </w:p>
        </w:tc>
        <w:tc>
          <w:tcPr>
            <w:tcW w:w="5103" w:type="dxa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以参加比选单位报价的平均值为基准价格，报价等于基准价格的，得8分，报价高于基准价的，以8分为基准适当减分；报价低于基准价的，以8分为基准适当加分，加、减分的分值不得超过2分。</w:t>
            </w:r>
          </w:p>
        </w:tc>
        <w:tc>
          <w:tcPr>
            <w:tcW w:w="1559" w:type="dxa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该项分值最高不超过10分。最低分不得低于6分。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合计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100分</w:t>
            </w:r>
          </w:p>
        </w:tc>
        <w:tc>
          <w:tcPr>
            <w:tcW w:w="5103" w:type="dxa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5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55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9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46BE"/>
    <w:multiLevelType w:val="singleLevel"/>
    <w:tmpl w:val="592246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7BD14E7B"/>
    <w:rsid w:val="000A1FE3"/>
    <w:rsid w:val="00182937"/>
    <w:rsid w:val="001A75B7"/>
    <w:rsid w:val="001E331D"/>
    <w:rsid w:val="002249B3"/>
    <w:rsid w:val="002B01CA"/>
    <w:rsid w:val="00321AB3"/>
    <w:rsid w:val="003A4B71"/>
    <w:rsid w:val="00447390"/>
    <w:rsid w:val="00554116"/>
    <w:rsid w:val="005E13F3"/>
    <w:rsid w:val="006F04F5"/>
    <w:rsid w:val="00745557"/>
    <w:rsid w:val="009E6407"/>
    <w:rsid w:val="009F1424"/>
    <w:rsid w:val="00A36D59"/>
    <w:rsid w:val="00B03BA7"/>
    <w:rsid w:val="00B06F94"/>
    <w:rsid w:val="00B16F60"/>
    <w:rsid w:val="00C20EAF"/>
    <w:rsid w:val="00C36B11"/>
    <w:rsid w:val="00C80A2E"/>
    <w:rsid w:val="00CB1B7B"/>
    <w:rsid w:val="00CE135E"/>
    <w:rsid w:val="00D453EA"/>
    <w:rsid w:val="00D95040"/>
    <w:rsid w:val="00DE471D"/>
    <w:rsid w:val="00E5354C"/>
    <w:rsid w:val="00EE0D69"/>
    <w:rsid w:val="00F63327"/>
    <w:rsid w:val="00F85987"/>
    <w:rsid w:val="013C59B7"/>
    <w:rsid w:val="01D77A5F"/>
    <w:rsid w:val="01E27F57"/>
    <w:rsid w:val="026E575A"/>
    <w:rsid w:val="02EC3703"/>
    <w:rsid w:val="03082A78"/>
    <w:rsid w:val="031C005D"/>
    <w:rsid w:val="046D11CF"/>
    <w:rsid w:val="05657505"/>
    <w:rsid w:val="05CA6283"/>
    <w:rsid w:val="05E0356B"/>
    <w:rsid w:val="07FF30C0"/>
    <w:rsid w:val="080D0FC8"/>
    <w:rsid w:val="083317A8"/>
    <w:rsid w:val="08FE2CAD"/>
    <w:rsid w:val="0A7A63CD"/>
    <w:rsid w:val="0ACD5041"/>
    <w:rsid w:val="0B5A2A99"/>
    <w:rsid w:val="0B8C29A6"/>
    <w:rsid w:val="0CB4531B"/>
    <w:rsid w:val="0D87571D"/>
    <w:rsid w:val="0DEF74B8"/>
    <w:rsid w:val="0E1C3E5C"/>
    <w:rsid w:val="0E5716BE"/>
    <w:rsid w:val="0E5C6D63"/>
    <w:rsid w:val="0E852AF8"/>
    <w:rsid w:val="0FF87CDA"/>
    <w:rsid w:val="10A94407"/>
    <w:rsid w:val="10AA32AD"/>
    <w:rsid w:val="10EA4869"/>
    <w:rsid w:val="11495BF3"/>
    <w:rsid w:val="119F33D0"/>
    <w:rsid w:val="11E60087"/>
    <w:rsid w:val="12453773"/>
    <w:rsid w:val="13581A05"/>
    <w:rsid w:val="144F7F2A"/>
    <w:rsid w:val="14AB6328"/>
    <w:rsid w:val="153C7D33"/>
    <w:rsid w:val="16EB721C"/>
    <w:rsid w:val="16F569BA"/>
    <w:rsid w:val="1B530F4F"/>
    <w:rsid w:val="1BF471EA"/>
    <w:rsid w:val="1CAC07D9"/>
    <w:rsid w:val="1D4B3624"/>
    <w:rsid w:val="20727F79"/>
    <w:rsid w:val="20AD0443"/>
    <w:rsid w:val="20AD55F9"/>
    <w:rsid w:val="214561D0"/>
    <w:rsid w:val="2267373B"/>
    <w:rsid w:val="233B34D5"/>
    <w:rsid w:val="235E5CD0"/>
    <w:rsid w:val="23DE486F"/>
    <w:rsid w:val="23EC7F8F"/>
    <w:rsid w:val="246A4F08"/>
    <w:rsid w:val="251956CA"/>
    <w:rsid w:val="253A476E"/>
    <w:rsid w:val="25674C9E"/>
    <w:rsid w:val="26722361"/>
    <w:rsid w:val="26F60AD4"/>
    <w:rsid w:val="2A1A3B37"/>
    <w:rsid w:val="2A3F294D"/>
    <w:rsid w:val="2A555F8F"/>
    <w:rsid w:val="2A7044E1"/>
    <w:rsid w:val="2B9D3A97"/>
    <w:rsid w:val="2BD75AAF"/>
    <w:rsid w:val="2EB93656"/>
    <w:rsid w:val="2ED730E4"/>
    <w:rsid w:val="2EF44FD2"/>
    <w:rsid w:val="2F0D2768"/>
    <w:rsid w:val="2F294296"/>
    <w:rsid w:val="2FB97B96"/>
    <w:rsid w:val="306A7FB5"/>
    <w:rsid w:val="310A6971"/>
    <w:rsid w:val="315B0366"/>
    <w:rsid w:val="31D86B87"/>
    <w:rsid w:val="32095159"/>
    <w:rsid w:val="33062B26"/>
    <w:rsid w:val="33B125FB"/>
    <w:rsid w:val="349104A4"/>
    <w:rsid w:val="351C02DB"/>
    <w:rsid w:val="357E0309"/>
    <w:rsid w:val="36AA6AE6"/>
    <w:rsid w:val="36F45DEE"/>
    <w:rsid w:val="39803AC4"/>
    <w:rsid w:val="39E0682A"/>
    <w:rsid w:val="39E57EA9"/>
    <w:rsid w:val="3A457369"/>
    <w:rsid w:val="3B8106BF"/>
    <w:rsid w:val="3BCE34BD"/>
    <w:rsid w:val="3BD16CB1"/>
    <w:rsid w:val="3C4A22C9"/>
    <w:rsid w:val="3C7273CE"/>
    <w:rsid w:val="3CB977AB"/>
    <w:rsid w:val="3D935B23"/>
    <w:rsid w:val="3DF40CA3"/>
    <w:rsid w:val="3ED76F63"/>
    <w:rsid w:val="3EFD30E3"/>
    <w:rsid w:val="3F746276"/>
    <w:rsid w:val="40724FBB"/>
    <w:rsid w:val="409970E8"/>
    <w:rsid w:val="41135B11"/>
    <w:rsid w:val="4198619F"/>
    <w:rsid w:val="428C3877"/>
    <w:rsid w:val="43037422"/>
    <w:rsid w:val="43303010"/>
    <w:rsid w:val="435F5A21"/>
    <w:rsid w:val="43B458AE"/>
    <w:rsid w:val="44034587"/>
    <w:rsid w:val="449C1138"/>
    <w:rsid w:val="44ED223F"/>
    <w:rsid w:val="45ED1D46"/>
    <w:rsid w:val="462D3C2B"/>
    <w:rsid w:val="468362AA"/>
    <w:rsid w:val="47314118"/>
    <w:rsid w:val="47795A06"/>
    <w:rsid w:val="47AE687C"/>
    <w:rsid w:val="489C17DB"/>
    <w:rsid w:val="493A4AED"/>
    <w:rsid w:val="49E802CC"/>
    <w:rsid w:val="4AD17608"/>
    <w:rsid w:val="4DD76A15"/>
    <w:rsid w:val="4ED12CAF"/>
    <w:rsid w:val="4EEA46AD"/>
    <w:rsid w:val="4F905E38"/>
    <w:rsid w:val="4FEE094E"/>
    <w:rsid w:val="503D3FB5"/>
    <w:rsid w:val="50EC0975"/>
    <w:rsid w:val="565D6D25"/>
    <w:rsid w:val="58626AB0"/>
    <w:rsid w:val="59477AA3"/>
    <w:rsid w:val="5ABE1E9B"/>
    <w:rsid w:val="5B022089"/>
    <w:rsid w:val="5BCA3A4E"/>
    <w:rsid w:val="5C024E03"/>
    <w:rsid w:val="5D224815"/>
    <w:rsid w:val="5D3371AE"/>
    <w:rsid w:val="5E7642D6"/>
    <w:rsid w:val="5EDF4FB4"/>
    <w:rsid w:val="5F4319DC"/>
    <w:rsid w:val="600C519E"/>
    <w:rsid w:val="60945848"/>
    <w:rsid w:val="614C2E06"/>
    <w:rsid w:val="620A5FBD"/>
    <w:rsid w:val="63156017"/>
    <w:rsid w:val="639F42C6"/>
    <w:rsid w:val="63C779DC"/>
    <w:rsid w:val="64314362"/>
    <w:rsid w:val="64A40EE8"/>
    <w:rsid w:val="668C6EBC"/>
    <w:rsid w:val="69EB350F"/>
    <w:rsid w:val="6A2867A9"/>
    <w:rsid w:val="6A325D03"/>
    <w:rsid w:val="6BB83BCF"/>
    <w:rsid w:val="6EA01537"/>
    <w:rsid w:val="70E20501"/>
    <w:rsid w:val="72BC44F3"/>
    <w:rsid w:val="7336020D"/>
    <w:rsid w:val="73A51ACF"/>
    <w:rsid w:val="73E25731"/>
    <w:rsid w:val="74561BC8"/>
    <w:rsid w:val="752E1AB1"/>
    <w:rsid w:val="784C1CC4"/>
    <w:rsid w:val="79835406"/>
    <w:rsid w:val="7B0557A3"/>
    <w:rsid w:val="7BD14E7B"/>
    <w:rsid w:val="7BF3611A"/>
    <w:rsid w:val="7E6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unhideWhenUsed/>
    <w:qFormat/>
    <w:uiPriority w:val="99"/>
    <w:rPr>
      <w:color w:val="333333"/>
      <w:u w:val="none"/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Calibri" w:hAnsi="Calibri"/>
      <w:szCs w:val="24"/>
    </w:rPr>
  </w:style>
  <w:style w:type="character" w:customStyle="1" w:styleId="14">
    <w:name w:val="right"/>
    <w:basedOn w:val="8"/>
    <w:qFormat/>
    <w:uiPriority w:val="0"/>
  </w:style>
  <w:style w:type="character" w:customStyle="1" w:styleId="15">
    <w:name w:val="red"/>
    <w:basedOn w:val="8"/>
    <w:qFormat/>
    <w:uiPriority w:val="0"/>
    <w:rPr>
      <w:b/>
      <w:color w:val="C81F1A"/>
    </w:rPr>
  </w:style>
  <w:style w:type="character" w:customStyle="1" w:styleId="16">
    <w:name w:val="red1"/>
    <w:basedOn w:val="8"/>
    <w:qFormat/>
    <w:uiPriority w:val="0"/>
    <w:rPr>
      <w:color w:val="FF0000"/>
    </w:rPr>
  </w:style>
  <w:style w:type="character" w:customStyle="1" w:styleId="17">
    <w:name w:val="red2"/>
    <w:basedOn w:val="8"/>
    <w:qFormat/>
    <w:uiPriority w:val="0"/>
    <w:rPr>
      <w:b/>
      <w:color w:val="C81F1A"/>
    </w:rPr>
  </w:style>
  <w:style w:type="character" w:customStyle="1" w:styleId="18">
    <w:name w:val="red3"/>
    <w:basedOn w:val="8"/>
    <w:qFormat/>
    <w:uiPriority w:val="0"/>
    <w:rPr>
      <w:color w:val="FF0000"/>
    </w:rPr>
  </w:style>
  <w:style w:type="character" w:customStyle="1" w:styleId="19">
    <w:name w:val="red4"/>
    <w:basedOn w:val="8"/>
    <w:qFormat/>
    <w:uiPriority w:val="0"/>
    <w:rPr>
      <w:color w:val="FF0000"/>
    </w:rPr>
  </w:style>
  <w:style w:type="character" w:customStyle="1" w:styleId="20">
    <w:name w:val="red5"/>
    <w:basedOn w:val="8"/>
    <w:qFormat/>
    <w:uiPriority w:val="0"/>
    <w:rPr>
      <w:color w:val="FF0000"/>
    </w:rPr>
  </w:style>
  <w:style w:type="character" w:customStyle="1" w:styleId="21">
    <w:name w:val="more"/>
    <w:basedOn w:val="8"/>
    <w:qFormat/>
    <w:uiPriority w:val="0"/>
  </w:style>
  <w:style w:type="character" w:customStyle="1" w:styleId="22">
    <w:name w:val="more1"/>
    <w:basedOn w:val="8"/>
    <w:qFormat/>
    <w:uiPriority w:val="0"/>
  </w:style>
  <w:style w:type="character" w:customStyle="1" w:styleId="23">
    <w:name w:val="批注框文本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4">
    <w:name w:val="页眉 Char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570</Words>
  <Characters>3254</Characters>
  <Lines>27</Lines>
  <Paragraphs>7</Paragraphs>
  <ScaleCrop>false</ScaleCrop>
  <LinksUpToDate>false</LinksUpToDate>
  <CharactersWithSpaces>3817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2017-05-25T06:33:00Z</dcterms:created>
  <dc:creator>Administrator</dc:creator>
  <cp:lastModifiedBy>Administrator</cp:lastModifiedBy>
  <dcterms:modified xsi:type="dcterms:W3CDTF">2017-10-17T04:04:41Z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