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9E" w:rsidRDefault="00917B9E" w:rsidP="00917B9E">
      <w:pPr>
        <w:widowControl/>
        <w:jc w:val="left"/>
        <w:rPr>
          <w:rFonts w:ascii="仿宋_GB2312" w:eastAsia="仿宋_GB2312"/>
          <w:b/>
          <w:color w:val="000000" w:themeColor="text1"/>
          <w:sz w:val="32"/>
          <w:szCs w:val="32"/>
        </w:rPr>
      </w:pPr>
      <w:r>
        <w:rPr>
          <w:rFonts w:ascii="仿宋_GB2312" w:eastAsia="仿宋_GB2312" w:hint="eastAsia"/>
          <w:b/>
          <w:color w:val="000000" w:themeColor="text1"/>
          <w:sz w:val="32"/>
          <w:szCs w:val="32"/>
        </w:rPr>
        <w:t>附件：</w:t>
      </w:r>
    </w:p>
    <w:p w:rsidR="00917B9E" w:rsidRDefault="00917B9E" w:rsidP="00917B9E">
      <w:pPr>
        <w:tabs>
          <w:tab w:val="left" w:pos="142"/>
        </w:tabs>
        <w:ind w:firstLineChars="177" w:firstLine="640"/>
        <w:jc w:val="center"/>
        <w:rPr>
          <w:rFonts w:ascii="宋体" w:eastAsia="宋体" w:hAnsi="宋体" w:hint="eastAsia"/>
          <w:b/>
          <w:color w:val="000000" w:themeColor="text1"/>
          <w:sz w:val="36"/>
          <w:szCs w:val="36"/>
        </w:rPr>
      </w:pPr>
      <w:r>
        <w:rPr>
          <w:rFonts w:ascii="宋体" w:eastAsia="宋体" w:hAnsi="宋体" w:hint="eastAsia"/>
          <w:b/>
          <w:color w:val="000000" w:themeColor="text1"/>
          <w:sz w:val="36"/>
          <w:szCs w:val="36"/>
        </w:rPr>
        <w:t>四川省特奥轮滑队承训机构比选评分表</w:t>
      </w:r>
    </w:p>
    <w:tbl>
      <w:tblPr>
        <w:tblW w:w="8808" w:type="dxa"/>
        <w:tblInd w:w="85" w:type="dxa"/>
        <w:tblLayout w:type="fixed"/>
        <w:tblLook w:val="04A0"/>
      </w:tblPr>
      <w:tblGrid>
        <w:gridCol w:w="594"/>
        <w:gridCol w:w="572"/>
        <w:gridCol w:w="6926"/>
        <w:gridCol w:w="716"/>
      </w:tblGrid>
      <w:tr w:rsidR="00917B9E" w:rsidTr="00917B9E">
        <w:trPr>
          <w:trHeight w:val="841"/>
        </w:trPr>
        <w:tc>
          <w:tcPr>
            <w:tcW w:w="8812" w:type="dxa"/>
            <w:gridSpan w:val="4"/>
            <w:noWrap/>
            <w:tcMar>
              <w:top w:w="0" w:type="dxa"/>
              <w:left w:w="28" w:type="dxa"/>
              <w:bottom w:w="0" w:type="dxa"/>
              <w:right w:w="28" w:type="dxa"/>
            </w:tcMar>
            <w:vAlign w:val="center"/>
            <w:hideMark/>
          </w:tcPr>
          <w:p w:rsidR="00917B9E" w:rsidRDefault="00917B9E">
            <w:pPr>
              <w:widowControl/>
              <w:spacing w:line="360" w:lineRule="auto"/>
              <w:jc w:val="left"/>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 xml:space="preserve">机构名称：                                     日期：2019年7月  日                             </w:t>
            </w:r>
          </w:p>
        </w:tc>
      </w:tr>
      <w:tr w:rsidR="00917B9E" w:rsidTr="00917B9E">
        <w:trPr>
          <w:trHeight w:val="1092"/>
        </w:trPr>
        <w:tc>
          <w:tcPr>
            <w:tcW w:w="595"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 xml:space="preserve">区分 </w:t>
            </w:r>
          </w:p>
        </w:tc>
        <w:tc>
          <w:tcPr>
            <w:tcW w:w="572"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分值</w:t>
            </w:r>
          </w:p>
        </w:tc>
        <w:tc>
          <w:tcPr>
            <w:tcW w:w="6929"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评分标准</w:t>
            </w:r>
          </w:p>
        </w:tc>
        <w:tc>
          <w:tcPr>
            <w:tcW w:w="716"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得分</w:t>
            </w:r>
          </w:p>
        </w:tc>
      </w:tr>
      <w:tr w:rsidR="00917B9E" w:rsidTr="00917B9E">
        <w:trPr>
          <w:trHeight w:val="704"/>
        </w:trPr>
        <w:tc>
          <w:tcPr>
            <w:tcW w:w="595" w:type="dxa"/>
            <w:vMerge w:val="restart"/>
            <w:tcBorders>
              <w:top w:val="nil"/>
              <w:left w:val="single" w:sz="4" w:space="0" w:color="auto"/>
              <w:bottom w:val="single" w:sz="4" w:space="0" w:color="000000"/>
              <w:right w:val="single" w:sz="4" w:space="0" w:color="auto"/>
            </w:tcBorders>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b/>
                <w:bCs/>
                <w:color w:val="000000" w:themeColor="text1"/>
                <w:kern w:val="0"/>
                <w:sz w:val="24"/>
                <w:szCs w:val="24"/>
              </w:rPr>
            </w:pPr>
            <w:r>
              <w:rPr>
                <w:rFonts w:ascii="仿宋" w:eastAsia="仿宋" w:hAnsi="仿宋" w:cs="宋体" w:hint="eastAsia"/>
                <w:b/>
                <w:bCs/>
                <w:color w:val="000000" w:themeColor="text1"/>
                <w:kern w:val="0"/>
                <w:sz w:val="24"/>
                <w:szCs w:val="24"/>
              </w:rPr>
              <w:t>集训</w:t>
            </w:r>
            <w:r>
              <w:rPr>
                <w:rFonts w:ascii="仿宋" w:eastAsia="仿宋" w:hAnsi="仿宋" w:cs="宋体" w:hint="eastAsia"/>
                <w:b/>
                <w:bCs/>
                <w:color w:val="000000" w:themeColor="text1"/>
                <w:kern w:val="0"/>
                <w:sz w:val="24"/>
                <w:szCs w:val="24"/>
              </w:rPr>
              <w:br/>
              <w:t>参赛保障</w:t>
            </w:r>
            <w:r>
              <w:rPr>
                <w:rFonts w:ascii="仿宋" w:eastAsia="仿宋" w:hAnsi="仿宋" w:cs="宋体" w:hint="eastAsia"/>
                <w:b/>
                <w:bCs/>
                <w:color w:val="000000" w:themeColor="text1"/>
                <w:kern w:val="0"/>
                <w:sz w:val="24"/>
                <w:szCs w:val="24"/>
              </w:rPr>
              <w:br/>
              <w:t>方案</w:t>
            </w:r>
            <w:r>
              <w:rPr>
                <w:rFonts w:ascii="仿宋" w:eastAsia="仿宋" w:hAnsi="仿宋" w:cs="宋体" w:hint="eastAsia"/>
                <w:b/>
                <w:bCs/>
                <w:color w:val="000000" w:themeColor="text1"/>
                <w:kern w:val="0"/>
                <w:sz w:val="24"/>
                <w:szCs w:val="24"/>
              </w:rPr>
              <w:br/>
              <w:t>得分</w:t>
            </w:r>
          </w:p>
        </w:tc>
        <w:tc>
          <w:tcPr>
            <w:tcW w:w="572" w:type="dxa"/>
            <w:vMerge w:val="restart"/>
            <w:tcBorders>
              <w:top w:val="nil"/>
              <w:left w:val="single" w:sz="4" w:space="0" w:color="auto"/>
              <w:bottom w:val="single" w:sz="4" w:space="0" w:color="000000"/>
              <w:right w:val="single" w:sz="4" w:space="0" w:color="auto"/>
            </w:tcBorders>
            <w:noWrap/>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b/>
                <w:color w:val="000000" w:themeColor="text1"/>
                <w:kern w:val="0"/>
                <w:sz w:val="24"/>
                <w:szCs w:val="24"/>
              </w:rPr>
            </w:pPr>
            <w:r>
              <w:rPr>
                <w:rFonts w:ascii="仿宋" w:eastAsia="仿宋" w:hAnsi="仿宋" w:cs="宋体" w:hint="eastAsia"/>
                <w:b/>
                <w:color w:val="000000" w:themeColor="text1"/>
                <w:kern w:val="0"/>
                <w:sz w:val="24"/>
                <w:szCs w:val="24"/>
              </w:rPr>
              <w:t>80分</w:t>
            </w:r>
          </w:p>
        </w:tc>
        <w:tc>
          <w:tcPr>
            <w:tcW w:w="6929"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917B9E" w:rsidRDefault="00917B9E">
            <w:pPr>
              <w:widowControl/>
              <w:spacing w:line="360" w:lineRule="auto"/>
              <w:ind w:firstLineChars="100" w:firstLine="241"/>
              <w:jc w:val="left"/>
              <w:rPr>
                <w:rFonts w:ascii="仿宋" w:eastAsia="仿宋" w:hAnsi="仿宋" w:cs="宋体"/>
                <w:color w:val="000000" w:themeColor="text1"/>
                <w:kern w:val="0"/>
                <w:sz w:val="24"/>
                <w:szCs w:val="24"/>
              </w:rPr>
            </w:pPr>
            <w:r>
              <w:rPr>
                <w:rFonts w:ascii="仿宋" w:eastAsia="仿宋" w:hAnsi="仿宋" w:cs="宋体" w:hint="eastAsia"/>
                <w:b/>
                <w:bCs/>
                <w:color w:val="000000" w:themeColor="text1"/>
                <w:kern w:val="0"/>
                <w:sz w:val="24"/>
                <w:szCs w:val="24"/>
              </w:rPr>
              <w:t>报价20分</w:t>
            </w:r>
            <w:r>
              <w:rPr>
                <w:rFonts w:ascii="仿宋" w:eastAsia="仿宋" w:hAnsi="仿宋" w:cs="宋体" w:hint="eastAsia"/>
                <w:color w:val="000000" w:themeColor="text1"/>
                <w:kern w:val="0"/>
                <w:sz w:val="24"/>
                <w:szCs w:val="24"/>
              </w:rPr>
              <w:t>：</w:t>
            </w:r>
            <w:r>
              <w:rPr>
                <w:rFonts w:ascii="仿宋" w:eastAsia="仿宋" w:hAnsi="仿宋" w:cs="宋体" w:hint="eastAsia"/>
                <w:bCs/>
                <w:color w:val="000000"/>
                <w:kern w:val="0"/>
                <w:sz w:val="24"/>
                <w:szCs w:val="24"/>
              </w:rPr>
              <w:t>报价不超8万元的最低报价为基准价，其价格分为满分20分。其他参选机构的价格分统一按照下列公式计算：报价得分=(基准价÷机构报价)×20%×100。（财务人员单独计算）</w:t>
            </w:r>
          </w:p>
        </w:tc>
        <w:tc>
          <w:tcPr>
            <w:tcW w:w="716"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 xml:space="preserve">　</w:t>
            </w:r>
          </w:p>
        </w:tc>
      </w:tr>
      <w:tr w:rsidR="00917B9E" w:rsidTr="00917B9E">
        <w:trPr>
          <w:trHeight w:val="670"/>
        </w:trPr>
        <w:tc>
          <w:tcPr>
            <w:tcW w:w="8812" w:type="dxa"/>
            <w:vMerge/>
            <w:tcBorders>
              <w:top w:val="nil"/>
              <w:left w:val="single" w:sz="4" w:space="0" w:color="auto"/>
              <w:bottom w:val="single" w:sz="4" w:space="0" w:color="000000"/>
              <w:right w:val="single" w:sz="4" w:space="0" w:color="auto"/>
            </w:tcBorders>
            <w:vAlign w:val="center"/>
            <w:hideMark/>
          </w:tcPr>
          <w:p w:rsidR="00917B9E" w:rsidRDefault="00917B9E">
            <w:pPr>
              <w:widowControl/>
              <w:jc w:val="left"/>
              <w:rPr>
                <w:rFonts w:ascii="仿宋" w:eastAsia="仿宋" w:hAnsi="仿宋" w:cs="宋体"/>
                <w:b/>
                <w:bCs/>
                <w:color w:val="000000" w:themeColor="text1"/>
                <w:kern w:val="0"/>
                <w:sz w:val="24"/>
                <w:szCs w:val="24"/>
              </w:rPr>
            </w:pPr>
          </w:p>
        </w:tc>
        <w:tc>
          <w:tcPr>
            <w:tcW w:w="572" w:type="dxa"/>
            <w:vMerge/>
            <w:tcBorders>
              <w:top w:val="nil"/>
              <w:left w:val="single" w:sz="4" w:space="0" w:color="auto"/>
              <w:bottom w:val="single" w:sz="4" w:space="0" w:color="000000"/>
              <w:right w:val="single" w:sz="4" w:space="0" w:color="auto"/>
            </w:tcBorders>
            <w:vAlign w:val="center"/>
            <w:hideMark/>
          </w:tcPr>
          <w:p w:rsidR="00917B9E" w:rsidRDefault="00917B9E">
            <w:pPr>
              <w:widowControl/>
              <w:jc w:val="left"/>
              <w:rPr>
                <w:rFonts w:ascii="仿宋" w:eastAsia="仿宋" w:hAnsi="仿宋" w:cs="宋体"/>
                <w:b/>
                <w:color w:val="000000" w:themeColor="text1"/>
                <w:kern w:val="0"/>
                <w:sz w:val="24"/>
                <w:szCs w:val="24"/>
              </w:rPr>
            </w:pPr>
          </w:p>
        </w:tc>
        <w:tc>
          <w:tcPr>
            <w:tcW w:w="6929"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917B9E" w:rsidRDefault="00917B9E">
            <w:pPr>
              <w:widowControl/>
              <w:spacing w:line="360" w:lineRule="auto"/>
              <w:ind w:firstLineChars="100" w:firstLine="241"/>
              <w:jc w:val="left"/>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训练场地20分：</w:t>
            </w:r>
            <w:r>
              <w:rPr>
                <w:rFonts w:ascii="仿宋" w:eastAsia="仿宋" w:hAnsi="仿宋" w:cs="宋体" w:hint="eastAsia"/>
                <w:bCs/>
                <w:color w:val="000000"/>
                <w:kern w:val="0"/>
                <w:sz w:val="24"/>
                <w:szCs w:val="24"/>
              </w:rPr>
              <w:t>能够满足特奥轮滑训练要求、条件安全、与食宿地点距离合适，</w:t>
            </w:r>
            <w:r>
              <w:rPr>
                <w:rFonts w:ascii="仿宋" w:eastAsia="仿宋" w:hAnsi="仿宋" w:cs="宋体" w:hint="eastAsia"/>
                <w:color w:val="000000"/>
                <w:kern w:val="0"/>
                <w:sz w:val="24"/>
                <w:szCs w:val="24"/>
              </w:rPr>
              <w:t>综合评判，优得20分，良15分，一般得10分。</w:t>
            </w:r>
          </w:p>
        </w:tc>
        <w:tc>
          <w:tcPr>
            <w:tcW w:w="716"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917B9E" w:rsidRDefault="00917B9E">
            <w:pPr>
              <w:widowControl/>
              <w:spacing w:line="360" w:lineRule="auto"/>
              <w:jc w:val="center"/>
              <w:rPr>
                <w:rFonts w:ascii="仿宋" w:eastAsia="仿宋" w:hAnsi="仿宋" w:cs="宋体"/>
                <w:color w:val="000000"/>
                <w:kern w:val="0"/>
                <w:sz w:val="24"/>
                <w:szCs w:val="24"/>
              </w:rPr>
            </w:pPr>
          </w:p>
        </w:tc>
      </w:tr>
      <w:tr w:rsidR="00917B9E" w:rsidTr="00917B9E">
        <w:trPr>
          <w:trHeight w:val="701"/>
        </w:trPr>
        <w:tc>
          <w:tcPr>
            <w:tcW w:w="8812" w:type="dxa"/>
            <w:vMerge/>
            <w:tcBorders>
              <w:top w:val="nil"/>
              <w:left w:val="single" w:sz="4" w:space="0" w:color="auto"/>
              <w:bottom w:val="single" w:sz="4" w:space="0" w:color="000000"/>
              <w:right w:val="single" w:sz="4" w:space="0" w:color="auto"/>
            </w:tcBorders>
            <w:vAlign w:val="center"/>
            <w:hideMark/>
          </w:tcPr>
          <w:p w:rsidR="00917B9E" w:rsidRDefault="00917B9E">
            <w:pPr>
              <w:widowControl/>
              <w:jc w:val="left"/>
              <w:rPr>
                <w:rFonts w:ascii="仿宋" w:eastAsia="仿宋" w:hAnsi="仿宋" w:cs="宋体"/>
                <w:b/>
                <w:bCs/>
                <w:color w:val="000000" w:themeColor="text1"/>
                <w:kern w:val="0"/>
                <w:sz w:val="24"/>
                <w:szCs w:val="24"/>
              </w:rPr>
            </w:pPr>
          </w:p>
        </w:tc>
        <w:tc>
          <w:tcPr>
            <w:tcW w:w="572" w:type="dxa"/>
            <w:vMerge/>
            <w:tcBorders>
              <w:top w:val="nil"/>
              <w:left w:val="single" w:sz="4" w:space="0" w:color="auto"/>
              <w:bottom w:val="single" w:sz="4" w:space="0" w:color="000000"/>
              <w:right w:val="single" w:sz="4" w:space="0" w:color="auto"/>
            </w:tcBorders>
            <w:vAlign w:val="center"/>
            <w:hideMark/>
          </w:tcPr>
          <w:p w:rsidR="00917B9E" w:rsidRDefault="00917B9E">
            <w:pPr>
              <w:widowControl/>
              <w:jc w:val="left"/>
              <w:rPr>
                <w:rFonts w:ascii="仿宋" w:eastAsia="仿宋" w:hAnsi="仿宋" w:cs="宋体"/>
                <w:b/>
                <w:color w:val="000000" w:themeColor="text1"/>
                <w:kern w:val="0"/>
                <w:sz w:val="24"/>
                <w:szCs w:val="24"/>
              </w:rPr>
            </w:pPr>
          </w:p>
        </w:tc>
        <w:tc>
          <w:tcPr>
            <w:tcW w:w="6929"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917B9E" w:rsidRDefault="00917B9E">
            <w:pPr>
              <w:widowControl/>
              <w:spacing w:line="360" w:lineRule="auto"/>
              <w:ind w:firstLineChars="100" w:firstLine="241"/>
              <w:jc w:val="left"/>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食宿保障20分</w:t>
            </w:r>
            <w:r>
              <w:rPr>
                <w:rFonts w:ascii="仿宋" w:eastAsia="仿宋" w:hAnsi="仿宋" w:cs="宋体" w:hint="eastAsia"/>
                <w:color w:val="000000"/>
                <w:kern w:val="0"/>
                <w:sz w:val="24"/>
                <w:szCs w:val="24"/>
              </w:rPr>
              <w:t>：住宿、餐饮保障考虑周全，条件、措施合理，综合评判，优得20分，良15分，一般得10分。</w:t>
            </w:r>
          </w:p>
        </w:tc>
        <w:tc>
          <w:tcPr>
            <w:tcW w:w="716"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917B9E" w:rsidRDefault="00917B9E">
            <w:pPr>
              <w:widowControl/>
              <w:spacing w:line="360" w:lineRule="auto"/>
              <w:jc w:val="center"/>
              <w:rPr>
                <w:rFonts w:ascii="仿宋" w:eastAsia="仿宋" w:hAnsi="仿宋" w:cs="宋体"/>
                <w:color w:val="000000"/>
                <w:kern w:val="0"/>
                <w:sz w:val="24"/>
                <w:szCs w:val="24"/>
              </w:rPr>
            </w:pPr>
          </w:p>
        </w:tc>
      </w:tr>
      <w:tr w:rsidR="00917B9E" w:rsidTr="00917B9E">
        <w:trPr>
          <w:trHeight w:val="412"/>
        </w:trPr>
        <w:tc>
          <w:tcPr>
            <w:tcW w:w="8812" w:type="dxa"/>
            <w:vMerge/>
            <w:tcBorders>
              <w:top w:val="nil"/>
              <w:left w:val="single" w:sz="4" w:space="0" w:color="auto"/>
              <w:bottom w:val="single" w:sz="4" w:space="0" w:color="000000"/>
              <w:right w:val="single" w:sz="4" w:space="0" w:color="auto"/>
            </w:tcBorders>
            <w:vAlign w:val="center"/>
            <w:hideMark/>
          </w:tcPr>
          <w:p w:rsidR="00917B9E" w:rsidRDefault="00917B9E">
            <w:pPr>
              <w:widowControl/>
              <w:jc w:val="left"/>
              <w:rPr>
                <w:rFonts w:ascii="仿宋" w:eastAsia="仿宋" w:hAnsi="仿宋" w:cs="宋体"/>
                <w:b/>
                <w:bCs/>
                <w:color w:val="000000" w:themeColor="text1"/>
                <w:kern w:val="0"/>
                <w:sz w:val="24"/>
                <w:szCs w:val="24"/>
              </w:rPr>
            </w:pPr>
          </w:p>
        </w:tc>
        <w:tc>
          <w:tcPr>
            <w:tcW w:w="572" w:type="dxa"/>
            <w:vMerge/>
            <w:tcBorders>
              <w:top w:val="nil"/>
              <w:left w:val="single" w:sz="4" w:space="0" w:color="auto"/>
              <w:bottom w:val="single" w:sz="4" w:space="0" w:color="000000"/>
              <w:right w:val="single" w:sz="4" w:space="0" w:color="auto"/>
            </w:tcBorders>
            <w:vAlign w:val="center"/>
            <w:hideMark/>
          </w:tcPr>
          <w:p w:rsidR="00917B9E" w:rsidRDefault="00917B9E">
            <w:pPr>
              <w:widowControl/>
              <w:jc w:val="left"/>
              <w:rPr>
                <w:rFonts w:ascii="仿宋" w:eastAsia="仿宋" w:hAnsi="仿宋" w:cs="宋体"/>
                <w:b/>
                <w:color w:val="000000" w:themeColor="text1"/>
                <w:kern w:val="0"/>
                <w:sz w:val="24"/>
                <w:szCs w:val="24"/>
              </w:rPr>
            </w:pPr>
          </w:p>
        </w:tc>
        <w:tc>
          <w:tcPr>
            <w:tcW w:w="6929"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917B9E" w:rsidRDefault="00917B9E">
            <w:pPr>
              <w:widowControl/>
              <w:spacing w:line="360" w:lineRule="auto"/>
              <w:ind w:firstLineChars="100" w:firstLine="241"/>
              <w:jc w:val="left"/>
              <w:rPr>
                <w:rFonts w:ascii="仿宋" w:eastAsia="仿宋" w:hAnsi="仿宋" w:cs="宋体"/>
                <w:color w:val="000000"/>
                <w:kern w:val="0"/>
                <w:sz w:val="24"/>
                <w:szCs w:val="24"/>
              </w:rPr>
            </w:pPr>
            <w:r>
              <w:rPr>
                <w:rFonts w:ascii="仿宋" w:eastAsia="仿宋" w:hAnsi="仿宋" w:cs="宋体" w:hint="eastAsia"/>
                <w:b/>
                <w:color w:val="000000"/>
                <w:kern w:val="0"/>
                <w:sz w:val="24"/>
                <w:szCs w:val="24"/>
              </w:rPr>
              <w:t>工作人员10分</w:t>
            </w:r>
            <w:r>
              <w:rPr>
                <w:rFonts w:ascii="仿宋" w:eastAsia="仿宋" w:hAnsi="仿宋" w:cs="宋体" w:hint="eastAsia"/>
                <w:color w:val="000000"/>
                <w:kern w:val="0"/>
                <w:sz w:val="24"/>
                <w:szCs w:val="24"/>
              </w:rPr>
              <w:t>：参选机构指派的工作人员早否了解特奥运动、群众体育，有特奥工作经验、责任心强，根据指派工作人员的个人简介评判，综合评价优秀的得10分，良得7分，一般得4分。</w:t>
            </w:r>
          </w:p>
        </w:tc>
        <w:tc>
          <w:tcPr>
            <w:tcW w:w="716"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917B9E" w:rsidRDefault="00917B9E">
            <w:pPr>
              <w:widowControl/>
              <w:spacing w:line="360" w:lineRule="auto"/>
              <w:jc w:val="center"/>
              <w:rPr>
                <w:rFonts w:ascii="仿宋" w:eastAsia="仿宋" w:hAnsi="仿宋" w:cs="宋体"/>
                <w:color w:val="000000"/>
                <w:kern w:val="0"/>
                <w:sz w:val="24"/>
                <w:szCs w:val="24"/>
              </w:rPr>
            </w:pPr>
          </w:p>
        </w:tc>
      </w:tr>
      <w:tr w:rsidR="00917B9E" w:rsidTr="00917B9E">
        <w:trPr>
          <w:trHeight w:val="247"/>
        </w:trPr>
        <w:tc>
          <w:tcPr>
            <w:tcW w:w="8812" w:type="dxa"/>
            <w:vMerge/>
            <w:tcBorders>
              <w:top w:val="nil"/>
              <w:left w:val="single" w:sz="4" w:space="0" w:color="auto"/>
              <w:bottom w:val="single" w:sz="4" w:space="0" w:color="000000"/>
              <w:right w:val="single" w:sz="4" w:space="0" w:color="auto"/>
            </w:tcBorders>
            <w:vAlign w:val="center"/>
            <w:hideMark/>
          </w:tcPr>
          <w:p w:rsidR="00917B9E" w:rsidRDefault="00917B9E">
            <w:pPr>
              <w:widowControl/>
              <w:jc w:val="left"/>
              <w:rPr>
                <w:rFonts w:ascii="仿宋" w:eastAsia="仿宋" w:hAnsi="仿宋" w:cs="宋体"/>
                <w:b/>
                <w:bCs/>
                <w:color w:val="000000" w:themeColor="text1"/>
                <w:kern w:val="0"/>
                <w:sz w:val="24"/>
                <w:szCs w:val="24"/>
              </w:rPr>
            </w:pPr>
          </w:p>
        </w:tc>
        <w:tc>
          <w:tcPr>
            <w:tcW w:w="572" w:type="dxa"/>
            <w:vMerge/>
            <w:tcBorders>
              <w:top w:val="nil"/>
              <w:left w:val="single" w:sz="4" w:space="0" w:color="auto"/>
              <w:bottom w:val="single" w:sz="4" w:space="0" w:color="000000"/>
              <w:right w:val="single" w:sz="4" w:space="0" w:color="auto"/>
            </w:tcBorders>
            <w:vAlign w:val="center"/>
            <w:hideMark/>
          </w:tcPr>
          <w:p w:rsidR="00917B9E" w:rsidRDefault="00917B9E">
            <w:pPr>
              <w:widowControl/>
              <w:jc w:val="left"/>
              <w:rPr>
                <w:rFonts w:ascii="仿宋" w:eastAsia="仿宋" w:hAnsi="仿宋" w:cs="宋体"/>
                <w:b/>
                <w:color w:val="000000" w:themeColor="text1"/>
                <w:kern w:val="0"/>
                <w:sz w:val="24"/>
                <w:szCs w:val="24"/>
              </w:rPr>
            </w:pPr>
          </w:p>
        </w:tc>
        <w:tc>
          <w:tcPr>
            <w:tcW w:w="6929"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917B9E" w:rsidRDefault="00917B9E">
            <w:pPr>
              <w:widowControl/>
              <w:spacing w:line="360" w:lineRule="auto"/>
              <w:ind w:firstLineChars="100" w:firstLine="241"/>
              <w:jc w:val="left"/>
              <w:rPr>
                <w:rFonts w:ascii="仿宋" w:eastAsia="仿宋" w:hAnsi="仿宋" w:cs="宋体"/>
                <w:color w:val="000000"/>
                <w:kern w:val="0"/>
                <w:sz w:val="24"/>
                <w:szCs w:val="24"/>
              </w:rPr>
            </w:pPr>
            <w:r>
              <w:rPr>
                <w:rFonts w:ascii="仿宋" w:eastAsia="仿宋" w:hAnsi="仿宋" w:cs="宋体" w:hint="eastAsia"/>
                <w:b/>
                <w:color w:val="000000"/>
                <w:kern w:val="0"/>
                <w:sz w:val="24"/>
                <w:szCs w:val="24"/>
              </w:rPr>
              <w:t>参赛交通10分</w:t>
            </w:r>
            <w:r>
              <w:rPr>
                <w:rFonts w:ascii="仿宋" w:eastAsia="仿宋" w:hAnsi="仿宋" w:cs="宋体" w:hint="eastAsia"/>
                <w:color w:val="000000"/>
                <w:kern w:val="0"/>
                <w:sz w:val="24"/>
                <w:szCs w:val="24"/>
              </w:rPr>
              <w:t>：集训人员前往天津交通方式为飞机的得10分、高铁（或动车）得5分。</w:t>
            </w:r>
          </w:p>
        </w:tc>
        <w:tc>
          <w:tcPr>
            <w:tcW w:w="716"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917B9E" w:rsidRDefault="00917B9E">
            <w:pPr>
              <w:widowControl/>
              <w:spacing w:line="360" w:lineRule="auto"/>
              <w:jc w:val="center"/>
              <w:rPr>
                <w:rFonts w:ascii="仿宋" w:eastAsia="仿宋" w:hAnsi="仿宋" w:cs="宋体"/>
                <w:color w:val="000000"/>
                <w:kern w:val="0"/>
                <w:sz w:val="24"/>
                <w:szCs w:val="24"/>
              </w:rPr>
            </w:pPr>
          </w:p>
        </w:tc>
      </w:tr>
      <w:tr w:rsidR="00917B9E" w:rsidTr="00917B9E">
        <w:trPr>
          <w:trHeight w:val="984"/>
        </w:trPr>
        <w:tc>
          <w:tcPr>
            <w:tcW w:w="59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履约能力</w:t>
            </w:r>
          </w:p>
        </w:tc>
        <w:tc>
          <w:tcPr>
            <w:tcW w:w="572"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10分</w:t>
            </w:r>
          </w:p>
        </w:tc>
        <w:tc>
          <w:tcPr>
            <w:tcW w:w="6929"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917B9E" w:rsidRDefault="00917B9E">
            <w:pPr>
              <w:widowControl/>
              <w:spacing w:line="360" w:lineRule="auto"/>
              <w:ind w:firstLineChars="100" w:firstLine="24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有组织特奥运动、群众体育项目训练、活动经验，每有一次得2分，最多得10分。通过参选机构提供可佐证材料为准，如网络报道链接、微信公众号、可体现活动内容的照片等。</w:t>
            </w:r>
          </w:p>
        </w:tc>
        <w:tc>
          <w:tcPr>
            <w:tcW w:w="716"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r>
      <w:tr w:rsidR="00917B9E" w:rsidTr="00917B9E">
        <w:trPr>
          <w:trHeight w:val="803"/>
        </w:trPr>
        <w:tc>
          <w:tcPr>
            <w:tcW w:w="595"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增值</w:t>
            </w:r>
            <w:r>
              <w:rPr>
                <w:rFonts w:ascii="仿宋" w:eastAsia="仿宋" w:hAnsi="仿宋" w:cs="宋体" w:hint="eastAsia"/>
                <w:b/>
                <w:bCs/>
                <w:color w:val="000000"/>
                <w:kern w:val="0"/>
                <w:sz w:val="24"/>
                <w:szCs w:val="24"/>
              </w:rPr>
              <w:br/>
              <w:t>服务</w:t>
            </w:r>
          </w:p>
        </w:tc>
        <w:tc>
          <w:tcPr>
            <w:tcW w:w="572"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10分</w:t>
            </w:r>
          </w:p>
        </w:tc>
        <w:tc>
          <w:tcPr>
            <w:tcW w:w="6929"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917B9E" w:rsidRDefault="00917B9E">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其他附加项目有利于项目开展或有利于特奥运动员康复发展的项目得1-10分，综合评判打分。</w:t>
            </w:r>
            <w:bookmarkStart w:id="0" w:name="_GoBack"/>
            <w:bookmarkEnd w:id="0"/>
          </w:p>
        </w:tc>
        <w:tc>
          <w:tcPr>
            <w:tcW w:w="716" w:type="dxa"/>
            <w:tcBorders>
              <w:top w:val="nil"/>
              <w:left w:val="nil"/>
              <w:bottom w:val="single" w:sz="4" w:space="0" w:color="auto"/>
              <w:right w:val="single" w:sz="4" w:space="0" w:color="auto"/>
            </w:tcBorders>
            <w:noWrap/>
            <w:tcMar>
              <w:top w:w="0" w:type="dxa"/>
              <w:left w:w="28" w:type="dxa"/>
              <w:bottom w:w="0" w:type="dxa"/>
              <w:right w:w="28" w:type="dxa"/>
            </w:tcMar>
            <w:vAlign w:val="center"/>
          </w:tcPr>
          <w:p w:rsidR="00917B9E" w:rsidRDefault="00917B9E">
            <w:pPr>
              <w:widowControl/>
              <w:spacing w:line="360" w:lineRule="auto"/>
              <w:jc w:val="center"/>
              <w:rPr>
                <w:rFonts w:ascii="仿宋" w:eastAsia="仿宋" w:hAnsi="仿宋" w:cs="宋体"/>
                <w:color w:val="000000"/>
                <w:kern w:val="0"/>
                <w:sz w:val="24"/>
                <w:szCs w:val="24"/>
              </w:rPr>
            </w:pPr>
          </w:p>
        </w:tc>
      </w:tr>
      <w:tr w:rsidR="00917B9E" w:rsidTr="00917B9E">
        <w:trPr>
          <w:trHeight w:val="673"/>
        </w:trPr>
        <w:tc>
          <w:tcPr>
            <w:tcW w:w="8096" w:type="dxa"/>
            <w:gridSpan w:val="3"/>
            <w:tcBorders>
              <w:top w:val="single" w:sz="4" w:space="0" w:color="auto"/>
              <w:left w:val="single" w:sz="4" w:space="0" w:color="auto"/>
              <w:bottom w:val="single" w:sz="4" w:space="0" w:color="auto"/>
              <w:right w:val="single" w:sz="4" w:space="0" w:color="000000"/>
            </w:tcBorders>
            <w:noWrap/>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合计得分（</w:t>
            </w:r>
            <w:r>
              <w:rPr>
                <w:rFonts w:ascii="仿宋" w:eastAsia="仿宋" w:hAnsi="仿宋" w:cs="宋体" w:hint="eastAsia"/>
                <w:color w:val="000000"/>
                <w:kern w:val="0"/>
                <w:sz w:val="24"/>
                <w:szCs w:val="24"/>
              </w:rPr>
              <w:t>各机构最终得分为各评委评分总和的平均数，保留1位小数。</w:t>
            </w:r>
            <w:r>
              <w:rPr>
                <w:rFonts w:ascii="仿宋" w:eastAsia="仿宋" w:hAnsi="仿宋" w:cs="宋体" w:hint="eastAsia"/>
                <w:b/>
                <w:bCs/>
                <w:color w:val="000000"/>
                <w:kern w:val="0"/>
                <w:sz w:val="24"/>
                <w:szCs w:val="24"/>
              </w:rPr>
              <w:t>）</w:t>
            </w:r>
          </w:p>
        </w:tc>
        <w:tc>
          <w:tcPr>
            <w:tcW w:w="716" w:type="dxa"/>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917B9E" w:rsidRDefault="00917B9E">
            <w:pPr>
              <w:widowControl/>
              <w:spacing w:line="36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r>
    </w:tbl>
    <w:p w:rsidR="00917B9E" w:rsidRDefault="00917B9E" w:rsidP="00917B9E">
      <w:pPr>
        <w:tabs>
          <w:tab w:val="left" w:pos="142"/>
        </w:tabs>
        <w:jc w:val="center"/>
        <w:rPr>
          <w:rFonts w:ascii="仿宋" w:eastAsia="仿宋" w:hAnsi="仿宋" w:cs="宋体" w:hint="eastAsia"/>
          <w:color w:val="000000"/>
          <w:kern w:val="0"/>
          <w:sz w:val="24"/>
          <w:szCs w:val="24"/>
        </w:rPr>
      </w:pPr>
    </w:p>
    <w:p w:rsidR="00917B9E" w:rsidRDefault="00917B9E" w:rsidP="00917B9E">
      <w:pPr>
        <w:tabs>
          <w:tab w:val="left" w:pos="142"/>
        </w:tabs>
        <w:jc w:val="center"/>
        <w:rPr>
          <w:rFonts w:ascii="仿宋_GB2312" w:eastAsia="仿宋_GB2312" w:hint="eastAsia"/>
          <w:sz w:val="32"/>
          <w:szCs w:val="32"/>
        </w:rPr>
      </w:pPr>
      <w:r>
        <w:rPr>
          <w:rFonts w:ascii="仿宋" w:eastAsia="仿宋" w:hAnsi="仿宋" w:cs="宋体" w:hint="eastAsia"/>
          <w:color w:val="000000"/>
          <w:kern w:val="0"/>
          <w:sz w:val="24"/>
          <w:szCs w:val="24"/>
        </w:rPr>
        <w:t xml:space="preserve">                                         评委签名：</w:t>
      </w:r>
      <w:r>
        <w:rPr>
          <w:rFonts w:ascii="仿宋" w:eastAsia="仿宋" w:hAnsi="仿宋" w:cs="宋体" w:hint="eastAsia"/>
          <w:color w:val="000000"/>
          <w:kern w:val="0"/>
          <w:sz w:val="24"/>
          <w:szCs w:val="24"/>
          <w:u w:val="single"/>
        </w:rPr>
        <w:t xml:space="preserve">          </w:t>
      </w:r>
      <w:r>
        <w:rPr>
          <w:rFonts w:ascii="仿宋" w:eastAsia="仿宋" w:hAnsi="仿宋" w:cs="宋体" w:hint="eastAsia"/>
          <w:color w:val="000000"/>
          <w:kern w:val="0"/>
          <w:sz w:val="24"/>
          <w:szCs w:val="24"/>
        </w:rPr>
        <w:t xml:space="preserve">  </w:t>
      </w:r>
    </w:p>
    <w:p w:rsidR="00917B9E" w:rsidRDefault="00917B9E" w:rsidP="00917B9E">
      <w:pPr>
        <w:rPr>
          <w:rFonts w:hint="eastAsia"/>
        </w:rPr>
      </w:pPr>
    </w:p>
    <w:p w:rsidR="006A5D82" w:rsidRDefault="006A5D82"/>
    <w:sectPr w:rsidR="006A5D82" w:rsidSect="00E87C0F">
      <w:pgSz w:w="11906" w:h="16838" w:code="9"/>
      <w:pgMar w:top="1701" w:right="1474" w:bottom="1588" w:left="1588"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bordersDoNotSurroundHeader/>
  <w:bordersDoNotSurroundFooter/>
  <w:proofState w:spelling="clean"/>
  <w:revisionView w:inkAnnotations="0"/>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17B9E"/>
    <w:rsid w:val="00212743"/>
    <w:rsid w:val="006A5D82"/>
    <w:rsid w:val="00917B9E"/>
    <w:rsid w:val="00E87C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1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2019-07-02T08:29:00Z</dcterms:created>
  <dcterms:modified xsi:type="dcterms:W3CDTF">2019-07-02T08:30:00Z</dcterms:modified>
</cp:coreProperties>
</file>