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60" w:lineRule="exact"/>
        <w:jc w:val="left"/>
        <w:rPr>
          <w:rFonts w:ascii="仿宋_GB2312" w:eastAsia="仿宋_GB2312"/>
          <w:b/>
          <w:color w:val="000000" w:themeColor="text1"/>
        </w:rPr>
      </w:pPr>
      <w:bookmarkStart w:id="0" w:name="_GoBack"/>
      <w:bookmarkEnd w:id="0"/>
      <w:r>
        <w:rPr>
          <w:rFonts w:hint="eastAsia" w:ascii="仿宋_GB2312" w:eastAsia="仿宋_GB2312"/>
          <w:b/>
          <w:color w:val="000000" w:themeColor="text1"/>
        </w:rPr>
        <w:t>附件1</w:t>
      </w:r>
    </w:p>
    <w:p>
      <w:pPr>
        <w:tabs>
          <w:tab w:val="left" w:pos="0"/>
        </w:tabs>
        <w:overflowPunct w:val="0"/>
        <w:autoSpaceDE w:val="0"/>
        <w:autoSpaceDN w:val="0"/>
        <w:adjustRightInd w:val="0"/>
        <w:snapToGrid w:val="0"/>
        <w:spacing w:line="560" w:lineRule="exact"/>
        <w:jc w:val="center"/>
        <w:rPr>
          <w:rFonts w:ascii="宋体" w:hAnsi="宋体"/>
          <w:b/>
          <w:color w:val="000000" w:themeColor="text1"/>
          <w:sz w:val="36"/>
          <w:szCs w:val="36"/>
        </w:rPr>
      </w:pPr>
    </w:p>
    <w:p>
      <w:pPr>
        <w:tabs>
          <w:tab w:val="left" w:pos="0"/>
        </w:tabs>
        <w:overflowPunct w:val="0"/>
        <w:autoSpaceDE w:val="0"/>
        <w:autoSpaceDN w:val="0"/>
        <w:adjustRightInd w:val="0"/>
        <w:snapToGrid w:val="0"/>
        <w:spacing w:line="560" w:lineRule="exact"/>
        <w:jc w:val="center"/>
        <w:rPr>
          <w:rFonts w:ascii="宋体" w:hAnsi="宋体"/>
          <w:b/>
          <w:color w:val="000000" w:themeColor="text1"/>
          <w:sz w:val="36"/>
          <w:szCs w:val="36"/>
        </w:rPr>
      </w:pPr>
      <w:r>
        <w:rPr>
          <w:rFonts w:hint="eastAsia" w:ascii="宋体" w:hAnsi="宋体"/>
          <w:b/>
          <w:color w:val="000000" w:themeColor="text1"/>
          <w:sz w:val="36"/>
          <w:szCs w:val="36"/>
        </w:rPr>
        <w:t>第五届残疾人民间足球争霸赛分区赛暨四川省残疾人</w:t>
      </w:r>
    </w:p>
    <w:p>
      <w:pPr>
        <w:tabs>
          <w:tab w:val="left" w:pos="0"/>
        </w:tabs>
        <w:overflowPunct w:val="0"/>
        <w:autoSpaceDE w:val="0"/>
        <w:autoSpaceDN w:val="0"/>
        <w:adjustRightInd w:val="0"/>
        <w:snapToGrid w:val="0"/>
        <w:spacing w:line="560" w:lineRule="exact"/>
        <w:jc w:val="center"/>
        <w:rPr>
          <w:rFonts w:ascii="宋体" w:hAnsi="宋体"/>
          <w:b/>
          <w:color w:val="000000" w:themeColor="text1"/>
          <w:sz w:val="36"/>
          <w:szCs w:val="36"/>
        </w:rPr>
      </w:pPr>
      <w:r>
        <w:rPr>
          <w:rFonts w:hint="eastAsia" w:ascii="宋体" w:hAnsi="宋体"/>
          <w:b/>
          <w:color w:val="000000" w:themeColor="text1"/>
          <w:sz w:val="36"/>
          <w:szCs w:val="36"/>
        </w:rPr>
        <w:t>城市足球挑战赛承办机构比选评分细则</w:t>
      </w:r>
    </w:p>
    <w:p>
      <w:pPr>
        <w:tabs>
          <w:tab w:val="left" w:pos="0"/>
        </w:tabs>
        <w:overflowPunct w:val="0"/>
        <w:autoSpaceDE w:val="0"/>
        <w:autoSpaceDN w:val="0"/>
        <w:adjustRightInd w:val="0"/>
        <w:snapToGrid w:val="0"/>
        <w:spacing w:line="560" w:lineRule="exact"/>
        <w:jc w:val="center"/>
        <w:rPr>
          <w:rFonts w:ascii="宋体" w:hAnsi="宋体"/>
          <w:b/>
          <w:color w:val="000000" w:themeColor="text1"/>
          <w:sz w:val="36"/>
          <w:szCs w:val="36"/>
        </w:rPr>
      </w:pPr>
    </w:p>
    <w:tbl>
      <w:tblPr>
        <w:tblStyle w:val="2"/>
        <w:tblW w:w="9418" w:type="dxa"/>
        <w:tblInd w:w="28" w:type="dxa"/>
        <w:tblLayout w:type="fixed"/>
        <w:tblCellMar>
          <w:top w:w="0" w:type="dxa"/>
          <w:left w:w="108" w:type="dxa"/>
          <w:bottom w:w="0" w:type="dxa"/>
          <w:right w:w="108" w:type="dxa"/>
        </w:tblCellMar>
      </w:tblPr>
      <w:tblGrid>
        <w:gridCol w:w="656"/>
        <w:gridCol w:w="628"/>
        <w:gridCol w:w="6850"/>
        <w:gridCol w:w="1284"/>
      </w:tblGrid>
      <w:tr>
        <w:tblPrEx>
          <w:tblLayout w:type="fixed"/>
          <w:tblCellMar>
            <w:top w:w="0" w:type="dxa"/>
            <w:left w:w="108" w:type="dxa"/>
            <w:bottom w:w="0" w:type="dxa"/>
            <w:right w:w="108" w:type="dxa"/>
          </w:tblCellMar>
        </w:tblPrEx>
        <w:trPr>
          <w:trHeight w:val="569" w:hRule="atLeast"/>
        </w:trPr>
        <w:tc>
          <w:tcPr>
            <w:tcW w:w="656" w:type="dxa"/>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 xml:space="preserve">区分 </w:t>
            </w:r>
          </w:p>
        </w:tc>
        <w:tc>
          <w:tcPr>
            <w:tcW w:w="628"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分值</w:t>
            </w:r>
          </w:p>
        </w:tc>
        <w:tc>
          <w:tcPr>
            <w:tcW w:w="6850"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评分标准</w:t>
            </w:r>
          </w:p>
        </w:tc>
        <w:tc>
          <w:tcPr>
            <w:tcW w:w="1284"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
                <w:bCs/>
                <w:color w:val="000000" w:themeColor="text1"/>
                <w:sz w:val="24"/>
                <w:szCs w:val="24"/>
              </w:rPr>
            </w:pPr>
            <w:r>
              <w:rPr>
                <w:rFonts w:hint="eastAsia" w:asciiTheme="majorEastAsia" w:hAnsiTheme="majorEastAsia" w:eastAsiaTheme="majorEastAsia" w:cstheme="majorEastAsia"/>
                <w:b/>
                <w:bCs/>
                <w:color w:val="000000" w:themeColor="text1"/>
                <w:sz w:val="24"/>
                <w:szCs w:val="24"/>
              </w:rPr>
              <w:t>备注</w:t>
            </w:r>
          </w:p>
        </w:tc>
      </w:tr>
      <w:tr>
        <w:tblPrEx>
          <w:tblLayout w:type="fixed"/>
          <w:tblCellMar>
            <w:top w:w="0" w:type="dxa"/>
            <w:left w:w="108" w:type="dxa"/>
            <w:bottom w:w="0" w:type="dxa"/>
            <w:right w:w="108" w:type="dxa"/>
          </w:tblCellMar>
        </w:tblPrEx>
        <w:trPr>
          <w:trHeight w:val="919" w:hRule="atLeast"/>
        </w:trPr>
        <w:tc>
          <w:tcPr>
            <w:tcW w:w="656" w:type="dxa"/>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比赛场地</w:t>
            </w:r>
          </w:p>
        </w:tc>
        <w:tc>
          <w:tcPr>
            <w:tcW w:w="628" w:type="dxa"/>
            <w:tcBorders>
              <w:top w:val="nil"/>
              <w:left w:val="single" w:color="auto" w:sz="4" w:space="0"/>
              <w:bottom w:val="single" w:color="000000"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20分</w:t>
            </w:r>
          </w:p>
        </w:tc>
        <w:tc>
          <w:tcPr>
            <w:tcW w:w="6850" w:type="dxa"/>
            <w:tcBorders>
              <w:top w:val="nil"/>
              <w:left w:val="nil"/>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lef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能够满足赛事要求，与食宿地点距离合适，</w:t>
            </w:r>
            <w:r>
              <w:rPr>
                <w:rFonts w:hint="eastAsia" w:asciiTheme="majorEastAsia" w:hAnsiTheme="majorEastAsia" w:eastAsiaTheme="majorEastAsia" w:cstheme="majorEastAsia"/>
                <w:color w:val="000000"/>
                <w:sz w:val="24"/>
                <w:szCs w:val="24"/>
              </w:rPr>
              <w:t>综合评判，优得20分，良15分，一般得10分。未确定比赛场地的不得分。</w:t>
            </w:r>
          </w:p>
        </w:tc>
        <w:tc>
          <w:tcPr>
            <w:tcW w:w="1284" w:type="dxa"/>
            <w:tcBorders>
              <w:top w:val="nil"/>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须附场地</w:t>
            </w:r>
          </w:p>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Cs/>
                <w:color w:val="000000"/>
                <w:sz w:val="24"/>
                <w:szCs w:val="24"/>
              </w:rPr>
              <w:t>实拍照片</w:t>
            </w:r>
          </w:p>
        </w:tc>
      </w:tr>
      <w:tr>
        <w:tblPrEx>
          <w:tblLayout w:type="fixed"/>
          <w:tblCellMar>
            <w:top w:w="0" w:type="dxa"/>
            <w:left w:w="108" w:type="dxa"/>
            <w:bottom w:w="0" w:type="dxa"/>
            <w:right w:w="108" w:type="dxa"/>
          </w:tblCellMar>
        </w:tblPrEx>
        <w:trPr>
          <w:trHeight w:val="919" w:hRule="atLeast"/>
        </w:trPr>
        <w:tc>
          <w:tcPr>
            <w:tcW w:w="656" w:type="dxa"/>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赛程安排</w:t>
            </w:r>
          </w:p>
        </w:tc>
        <w:tc>
          <w:tcPr>
            <w:tcW w:w="628" w:type="dxa"/>
            <w:tcBorders>
              <w:top w:val="nil"/>
              <w:left w:val="single" w:color="auto" w:sz="4" w:space="0"/>
              <w:bottom w:val="single" w:color="000000"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20分</w:t>
            </w:r>
          </w:p>
        </w:tc>
        <w:tc>
          <w:tcPr>
            <w:tcW w:w="6850" w:type="dxa"/>
            <w:tcBorders>
              <w:top w:val="nil"/>
              <w:left w:val="nil"/>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lef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赛程安排合理，符合项目实际，优得20分，良15分，一般得10分。未体现赛程安排的不得分。</w:t>
            </w:r>
          </w:p>
        </w:tc>
        <w:tc>
          <w:tcPr>
            <w:tcW w:w="1284" w:type="dxa"/>
            <w:tcBorders>
              <w:top w:val="nil"/>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p>
        </w:tc>
      </w:tr>
      <w:tr>
        <w:tblPrEx>
          <w:tblLayout w:type="fixed"/>
          <w:tblCellMar>
            <w:top w:w="0" w:type="dxa"/>
            <w:left w:w="108" w:type="dxa"/>
            <w:bottom w:w="0" w:type="dxa"/>
            <w:right w:w="108" w:type="dxa"/>
          </w:tblCellMar>
        </w:tblPrEx>
        <w:trPr>
          <w:trHeight w:val="959" w:hRule="atLeast"/>
        </w:trPr>
        <w:tc>
          <w:tcPr>
            <w:tcW w:w="656" w:type="dxa"/>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食宿保障</w:t>
            </w:r>
          </w:p>
        </w:tc>
        <w:tc>
          <w:tcPr>
            <w:tcW w:w="628" w:type="dxa"/>
            <w:tcBorders>
              <w:top w:val="nil"/>
              <w:left w:val="single" w:color="auto" w:sz="4" w:space="0"/>
              <w:bottom w:val="single" w:color="000000"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20分</w:t>
            </w:r>
          </w:p>
        </w:tc>
        <w:tc>
          <w:tcPr>
            <w:tcW w:w="6850" w:type="dxa"/>
            <w:tcBorders>
              <w:top w:val="nil"/>
              <w:left w:val="nil"/>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lef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住宿、餐饮保障周全，具备相应无障碍设施、安全合理，综合评判，优得20分，良15分，一般得10分。未明确食宿方案的不得分。</w:t>
            </w:r>
          </w:p>
        </w:tc>
        <w:tc>
          <w:tcPr>
            <w:tcW w:w="1284" w:type="dxa"/>
            <w:tcBorders>
              <w:top w:val="nil"/>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p>
        </w:tc>
      </w:tr>
      <w:tr>
        <w:tblPrEx>
          <w:tblLayout w:type="fixed"/>
          <w:tblCellMar>
            <w:top w:w="0" w:type="dxa"/>
            <w:left w:w="108" w:type="dxa"/>
            <w:bottom w:w="0" w:type="dxa"/>
            <w:right w:w="108" w:type="dxa"/>
          </w:tblCellMar>
        </w:tblPrEx>
        <w:trPr>
          <w:trHeight w:val="564" w:hRule="atLeast"/>
        </w:trPr>
        <w:tc>
          <w:tcPr>
            <w:tcW w:w="656" w:type="dxa"/>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裁判队伍安排</w:t>
            </w:r>
          </w:p>
        </w:tc>
        <w:tc>
          <w:tcPr>
            <w:tcW w:w="628" w:type="dxa"/>
            <w:tcBorders>
              <w:top w:val="nil"/>
              <w:left w:val="single" w:color="auto" w:sz="4" w:space="0"/>
              <w:bottom w:val="single" w:color="000000"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15分</w:t>
            </w:r>
          </w:p>
        </w:tc>
        <w:tc>
          <w:tcPr>
            <w:tcW w:w="6850" w:type="dxa"/>
            <w:tcBorders>
              <w:top w:val="nil"/>
              <w:left w:val="nil"/>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lef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裁判员队伍安排合理、符合赛事要求，综合评判，优得15分，良10分，一般得5分。未明确裁判员队伍主要人员的不得分。</w:t>
            </w:r>
          </w:p>
        </w:tc>
        <w:tc>
          <w:tcPr>
            <w:tcW w:w="1284" w:type="dxa"/>
            <w:tcBorders>
              <w:top w:val="nil"/>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p>
        </w:tc>
      </w:tr>
      <w:tr>
        <w:tblPrEx>
          <w:tblLayout w:type="fixed"/>
          <w:tblCellMar>
            <w:top w:w="0" w:type="dxa"/>
            <w:left w:w="108" w:type="dxa"/>
            <w:bottom w:w="0" w:type="dxa"/>
            <w:right w:w="108" w:type="dxa"/>
          </w:tblCellMar>
        </w:tblPrEx>
        <w:trPr>
          <w:trHeight w:val="1348" w:hRule="atLeast"/>
        </w:trPr>
        <w:tc>
          <w:tcPr>
            <w:tcW w:w="6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参赛队伍设置</w:t>
            </w:r>
          </w:p>
        </w:tc>
        <w:tc>
          <w:tcPr>
            <w:tcW w:w="628"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15分</w:t>
            </w:r>
          </w:p>
        </w:tc>
        <w:tc>
          <w:tcPr>
            <w:tcW w:w="685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lef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根据参选机构设置的最多参赛队伍数量（每组别须不少于4支队伍的），横向对比，排名第1名的得15分，第2名的得10分，第3名的得5分，排名可并列。未明确的不得分。</w:t>
            </w:r>
          </w:p>
        </w:tc>
        <w:tc>
          <w:tcPr>
            <w:tcW w:w="1284"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w:t>
            </w:r>
          </w:p>
        </w:tc>
      </w:tr>
      <w:tr>
        <w:tblPrEx>
          <w:tblLayout w:type="fixed"/>
          <w:tblCellMar>
            <w:top w:w="0" w:type="dxa"/>
            <w:left w:w="108" w:type="dxa"/>
            <w:bottom w:w="0" w:type="dxa"/>
            <w:right w:w="108" w:type="dxa"/>
          </w:tblCellMar>
        </w:tblPrEx>
        <w:trPr>
          <w:trHeight w:val="1041" w:hRule="atLeast"/>
        </w:trPr>
        <w:tc>
          <w:tcPr>
            <w:tcW w:w="65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rPr>
              <w:t>赛事后勤保障</w:t>
            </w:r>
          </w:p>
        </w:tc>
        <w:tc>
          <w:tcPr>
            <w:tcW w:w="628"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10分</w:t>
            </w:r>
          </w:p>
        </w:tc>
        <w:tc>
          <w:tcPr>
            <w:tcW w:w="685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overflowPunct w:val="0"/>
              <w:autoSpaceDE w:val="0"/>
              <w:autoSpaceDN w:val="0"/>
              <w:adjustRightInd w:val="0"/>
              <w:snapToGrid w:val="0"/>
              <w:spacing w:line="560" w:lineRule="exact"/>
              <w:jc w:val="left"/>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赛事后勤保障安排合理，确保赛事安全、顺利进行，横向对比，排名第1名的得10分，第2名的得7分，第3名的得5分，排名可并列。未体现保障内容的不得分。</w:t>
            </w:r>
          </w:p>
        </w:tc>
        <w:tc>
          <w:tcPr>
            <w:tcW w:w="1284"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overflowPunct w:val="0"/>
              <w:autoSpaceDE w:val="0"/>
              <w:autoSpaceDN w:val="0"/>
              <w:adjustRightInd w:val="0"/>
              <w:snapToGrid w:val="0"/>
              <w:spacing w:line="560" w:lineRule="exact"/>
              <w:jc w:val="center"/>
              <w:rPr>
                <w:rFonts w:asciiTheme="majorEastAsia" w:hAnsiTheme="majorEastAsia" w:eastAsiaTheme="majorEastAsia" w:cstheme="majorEastAsia"/>
                <w:color w:val="000000"/>
                <w:sz w:val="24"/>
                <w:szCs w:val="24"/>
              </w:rPr>
            </w:pPr>
          </w:p>
        </w:tc>
      </w:tr>
    </w:tbl>
    <w:p>
      <w:pPr>
        <w:overflowPunct w:val="0"/>
        <w:autoSpaceDE w:val="0"/>
        <w:autoSpaceDN w:val="0"/>
        <w:adjustRightInd w:val="0"/>
        <w:snapToGrid w:val="0"/>
        <w:spacing w:line="560" w:lineRule="exact"/>
        <w:jc w:val="left"/>
        <w:rPr>
          <w:rFonts w:ascii="仿宋_GB2312" w:eastAsia="仿宋_GB2312"/>
          <w:b/>
          <w:color w:val="000000" w:themeColor="text1"/>
        </w:rPr>
      </w:pPr>
    </w:p>
    <w:p>
      <w:pPr>
        <w:overflowPunct w:val="0"/>
        <w:autoSpaceDE w:val="0"/>
        <w:autoSpaceDN w:val="0"/>
        <w:adjustRightInd w:val="0"/>
        <w:snapToGrid w:val="0"/>
        <w:spacing w:line="560" w:lineRule="exact"/>
        <w:jc w:val="left"/>
        <w:rPr>
          <w:rFonts w:ascii="仿宋_GB2312" w:eastAsia="仿宋_GB2312"/>
          <w:b/>
          <w:color w:val="000000" w:themeColor="text1"/>
        </w:rPr>
      </w:pPr>
      <w:r>
        <w:rPr>
          <w:rFonts w:hint="eastAsia" w:ascii="仿宋_GB2312" w:eastAsia="仿宋_GB2312"/>
          <w:b/>
          <w:color w:val="000000" w:themeColor="text1"/>
        </w:rPr>
        <w:t>附件2</w:t>
      </w:r>
    </w:p>
    <w:p>
      <w:pPr>
        <w:overflowPunct w:val="0"/>
        <w:autoSpaceDE w:val="0"/>
        <w:autoSpaceDN w:val="0"/>
        <w:adjustRightInd w:val="0"/>
        <w:snapToGrid w:val="0"/>
        <w:spacing w:line="560" w:lineRule="exact"/>
        <w:jc w:val="center"/>
        <w:rPr>
          <w:rFonts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第五届残疾人民间足球争霸赛分区赛</w:t>
      </w:r>
    </w:p>
    <w:p>
      <w:pPr>
        <w:overflowPunct w:val="0"/>
        <w:autoSpaceDE w:val="0"/>
        <w:autoSpaceDN w:val="0"/>
        <w:adjustRightInd w:val="0"/>
        <w:snapToGrid w:val="0"/>
        <w:spacing w:line="560" w:lineRule="exact"/>
        <w:jc w:val="center"/>
        <w:rPr>
          <w:rFonts w:asciiTheme="minorHAnsi" w:hAnsiTheme="minorHAnsi" w:eastAsiaTheme="minorEastAsia" w:cstheme="minorBidi"/>
          <w:sz w:val="21"/>
          <w:szCs w:val="22"/>
        </w:rPr>
      </w:pPr>
      <w:r>
        <w:rPr>
          <w:rFonts w:hint="eastAsia" w:ascii="方正小标宋简体" w:hAnsi="华文中宋" w:eastAsia="方正小标宋简体" w:cs="华文中宋"/>
          <w:bCs/>
          <w:sz w:val="44"/>
          <w:szCs w:val="44"/>
        </w:rPr>
        <w:t>暨四川省残疾人城市足球挑战赛竞赛规程</w:t>
      </w:r>
    </w:p>
    <w:p>
      <w:pPr>
        <w:overflowPunct w:val="0"/>
        <w:autoSpaceDE w:val="0"/>
        <w:autoSpaceDN w:val="0"/>
        <w:adjustRightInd w:val="0"/>
        <w:snapToGrid w:val="0"/>
        <w:spacing w:line="560" w:lineRule="exact"/>
        <w:ind w:firstLine="304" w:firstLineChars="96"/>
      </w:pPr>
      <w:r>
        <w:t xml:space="preserve"> </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一、比赛名称</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第五届残疾人民间足球争霸赛分区赛暨四川省残疾人城市足球挑战赛</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二、组织机构</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主办单位：中国残疾人福利基金会、中国残疾人体育运动管理中心、四川省残疾人联合会</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支持单位：中国足球协会</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承办单位：机构待定</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三、比赛时间、地点</w:t>
      </w:r>
    </w:p>
    <w:p>
      <w:pPr>
        <w:overflowPunct w:val="0"/>
        <w:autoSpaceDE w:val="0"/>
        <w:autoSpaceDN w:val="0"/>
        <w:adjustRightInd w:val="0"/>
        <w:snapToGrid w:val="0"/>
        <w:spacing w:line="500" w:lineRule="exact"/>
        <w:ind w:firstLine="304" w:firstLineChars="96"/>
        <w:rPr>
          <w:rFonts w:ascii="仿宋_GB2312" w:hAnsi="仿宋" w:eastAsia="仿宋_GB2312"/>
          <w:color w:val="FF0000"/>
        </w:rPr>
      </w:pPr>
      <w:r>
        <w:rPr>
          <w:rFonts w:hint="eastAsia" w:ascii="仿宋_GB2312" w:hAnsi="仿宋" w:eastAsia="仿宋_GB2312"/>
          <w:color w:val="FF0000"/>
        </w:rPr>
        <w:t>以报名公告为准。</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四、竞赛项目及分组</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（一）聋人组男子五人制足球。</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（二）特奥融合组五人制足球。</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五、参赛资格</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（一）参赛运动员凭残疾人证、二代身份证参赛，残疾人证件的残疾类别需为听力残疾或智力残疾。</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（二）参赛单位必须为所有运动员及融合伙伴办理人身意外伤害保险。</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（三）以报名截止时间算三个月内，经二级甲等以上(含)医务部门检查，证明身体健康状况适合参加所报项目的比赛。</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（四）特奥运动员家长或监护人须签署《运动员参赛声明书》。</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（五）聋人组运动员年龄在12－20岁(1999年9月1日-2007年10月11日)之间，均可报名参赛。</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（六）融合运动员年龄在12-18岁(2001年10月12日-2007年10月11日)之间，均可报名参赛。</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（七）唐氏综合症特奥运动员不能报名参加本次比赛。</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（八）残疾人运动员注册系统在册运动员、或注销不足6个月（2019年4月1日后注销）的不能报名参加本次比赛。</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六、参赛办法</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（一）以市（州）、县级残联、特殊教育学校、社区或俱乐部形式组队报名，每单位每组限报一队。</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（二）每队限报运动员8名（特奥融合组运动员性别不限），工作人员2名。</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（三）各组别按照报名顺序前</w:t>
      </w:r>
      <w:r>
        <w:rPr>
          <w:rFonts w:hint="eastAsia" w:ascii="仿宋_GB2312" w:hAnsi="仿宋" w:eastAsia="仿宋_GB2312"/>
          <w:u w:val="single"/>
        </w:rPr>
        <w:t xml:space="preserve">  </w:t>
      </w:r>
      <w:r>
        <w:rPr>
          <w:rFonts w:hint="eastAsia" w:ascii="仿宋_GB2312" w:hAnsi="仿宋" w:eastAsia="仿宋_GB2312"/>
        </w:rPr>
        <w:t>支队伍可参赛（以报名公告具体要求为准）。</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（四）各组别优胜队伍将代表四川省参加于2019年10月12日-16日在中国残疾人体育运动管理中心举行的年终总决赛。</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七、竞赛办法</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（一）竞赛规则。</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1．聋人足球采用国际足联最新审定的《室内五人制足球竞赛规则》。</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2．特奥足球采用国际足联最新审定的《室内五人制足球竞赛规则》及中国特奥委员会审定的《特殊奥林匹克项目规则》足球部分。</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3．各项目竞赛补充规定另行通知。</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（二）竞赛形式。</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采取单循环赛制。</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（三）竞赛规定。</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如果某队无故弃权，判罚该队所有比赛成绩（包括已赛和未赛的场次）为每场0:3负于对方；</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（四）技术规定。</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聋人组</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1．比赛时运动员不允许佩戴助听器。</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2．每场比赛开始前30分钟内，各队教练员必须提交首发上场队员5人和替补队员3人（或3人以内）名单，替换队员不受替换次数限制，可重复替换上场。</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3．运动员在比赛中被裁判员出示红牌自动失去下一场比赛资格；比赛中累计2张黄牌将停赛一场。</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4．每场比赛50分钟，上、下半场各25分钟，中场休息10分钟。</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5．比赛队服装要求。</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(1)每队必须准备2套或以上深浅不同颜色的服装，守门员的服装颜色应与运动员和裁判员有明显区别；</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(2)运动员比赛服装的号码为1－10号，应与报名表号码相符，无号、重号一律不得参加比赛；</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(3)场上队长必须自备6厘米宽与上衣颜色有明显区别的袖标；</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(4)比赛鞋须为人工草地碎钉（钢钉、铁钉、天然草地多钉鞋除外），场上队员必须佩戴护腿板。</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6．比赛用球一律使用经中国足球协会批准使用的5号球，由赛会提供，训练用球各队自备。</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7．比赛场地使用五人制足球比赛人造草地。</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8.计分和决定名次的办法。</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 xml:space="preserve">(1)各队胜一场得3分，平一场得1分，负一场记0分； </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(2)如遇2个或2个以上队积分相等，以积分相等队间相互比赛的下列结果及顺序决定名次：</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相互间胜负关系；</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相互间净胜球；</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相互间进球总和；</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全部比赛净胜球；</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全部比赛进球总和；</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如果仍相等以抽签决定名次。</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(3)如进行第二阶段比赛，计分和决定名次办法将在补充通知中说明。</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特奥融合组</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1．每场比赛开始前30分钟内，各队教练员必须提交首发上场队员5人和替补队员3人（或3人以内）名单，替换队员不受替换次数限制，可重复替换上场。</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2．每队场上只允许有一名融合伙伴参赛，该名伙伴在比赛进行的任何情况下不能进入对方罚球区内，如进入对方罚球区内由对方队员罚间接任意球（此任意球不能由本方守门员发）。</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3．为保护特奥运动员人身安全，比赛中融合伙伴不允许射门；若由融合伙伴造成直接或间接进球（包括同队或对方队员），将由对方守门员发球门球。</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4．每次上场队员5名，其中守门员必须是特奥运动员。</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5．每场比赛时间为40分钟，上、下半场各20分钟，中场休息10分钟。</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6．红黄牌累计、比赛用球、服装、场地要求及计分和决定名次的办法，参照聋人组技术规定。</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九、报名、报到及离会</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color w:val="FF0000"/>
        </w:rPr>
        <w:t>以报名公告为准</w:t>
      </w:r>
      <w:r>
        <w:rPr>
          <w:rFonts w:hint="eastAsia" w:ascii="仿宋_GB2312" w:hAnsi="仿宋" w:eastAsia="仿宋_GB2312"/>
        </w:rPr>
        <w:t>。</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十、费用</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（一）在规定人数内的各参赛队人员，食宿由赛会承担，参赛人员保险及往返交通费用各队自理。</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（二）超编工作人员及运动员，提前抵达或推迟离会的人员，食宿及交通费用自理，根据实际发生，按照每人每天  元收取。各代表队如有特殊需求，请提前告知。</w:t>
      </w:r>
    </w:p>
    <w:p>
      <w:pPr>
        <w:overflowPunct w:val="0"/>
        <w:autoSpaceDE w:val="0"/>
        <w:autoSpaceDN w:val="0"/>
        <w:adjustRightInd w:val="0"/>
        <w:snapToGrid w:val="0"/>
        <w:spacing w:line="500" w:lineRule="exact"/>
        <w:ind w:firstLine="304" w:firstLineChars="96"/>
        <w:rPr>
          <w:rFonts w:ascii="仿宋_GB2312" w:hAnsi="仿宋" w:eastAsia="仿宋_GB2312"/>
        </w:rPr>
      </w:pPr>
      <w:r>
        <w:rPr>
          <w:rFonts w:hint="eastAsia" w:ascii="仿宋_GB2312" w:hAnsi="仿宋" w:eastAsia="仿宋_GB2312"/>
        </w:rPr>
        <w:t>（三）比赛技术官员差旅费（原则上为火车硬卧或高铁动车二等座）、劳务费及赛会期间食宿费由赛会承担。</w:t>
      </w:r>
    </w:p>
    <w:p>
      <w:pPr>
        <w:overflowPunct w:val="0"/>
        <w:autoSpaceDE w:val="0"/>
        <w:autoSpaceDN w:val="0"/>
        <w:adjustRightInd w:val="0"/>
        <w:snapToGrid w:val="0"/>
        <w:spacing w:line="500" w:lineRule="exact"/>
        <w:ind w:firstLine="304" w:firstLineChars="96"/>
        <w:rPr>
          <w:rFonts w:ascii="仿宋_GB2312" w:hAnsi="仿宋" w:eastAsia="仿宋_GB2312"/>
          <w:b/>
        </w:rPr>
      </w:pPr>
      <w:r>
        <w:rPr>
          <w:rFonts w:hint="eastAsia" w:ascii="仿宋_GB2312" w:hAnsi="仿宋" w:eastAsia="仿宋_GB2312"/>
          <w:b/>
        </w:rPr>
        <w:t>十一、联系方式</w:t>
      </w:r>
    </w:p>
    <w:p>
      <w:pPr>
        <w:overflowPunct w:val="0"/>
        <w:autoSpaceDE w:val="0"/>
        <w:autoSpaceDN w:val="0"/>
        <w:adjustRightInd w:val="0"/>
        <w:snapToGrid w:val="0"/>
        <w:spacing w:line="500" w:lineRule="exact"/>
        <w:ind w:firstLine="304" w:firstLineChars="96"/>
        <w:rPr>
          <w:rFonts w:ascii="仿宋_GB2312" w:hAnsi="仿宋" w:eastAsia="仿宋_GB2312"/>
          <w:color w:val="FF0000"/>
        </w:rPr>
      </w:pPr>
      <w:r>
        <w:rPr>
          <w:rFonts w:hint="eastAsia" w:ascii="仿宋_GB2312" w:hAnsi="仿宋" w:eastAsia="仿宋_GB2312"/>
          <w:color w:val="FF0000"/>
        </w:rPr>
        <w:t>协办单位派出，待定。</w:t>
      </w:r>
    </w:p>
    <w:p>
      <w:pPr>
        <w:overflowPunct w:val="0"/>
        <w:autoSpaceDE w:val="0"/>
        <w:autoSpaceDN w:val="0"/>
        <w:adjustRightInd w:val="0"/>
        <w:snapToGrid w:val="0"/>
        <w:spacing w:line="500" w:lineRule="exact"/>
        <w:ind w:firstLine="304" w:firstLineChars="96"/>
        <w:rPr>
          <w:rFonts w:ascii="仿宋_GB2312" w:hAnsi="仿宋" w:eastAsia="仿宋_GB2312"/>
          <w:color w:val="FF0000"/>
        </w:rPr>
      </w:pPr>
      <w:r>
        <w:rPr>
          <w:rFonts w:hint="eastAsia" w:ascii="仿宋_GB2312" w:hAnsi="仿宋" w:eastAsia="仿宋_GB2312"/>
          <w:b/>
        </w:rPr>
        <w:t>十</w:t>
      </w:r>
      <w:r>
        <w:rPr>
          <w:rFonts w:hint="eastAsia" w:ascii="仿宋_GB2312" w:eastAsia="仿宋_GB2312"/>
          <w:b/>
        </w:rPr>
        <w:t>二</w:t>
      </w:r>
      <w:r>
        <w:rPr>
          <w:rFonts w:hint="eastAsia" w:ascii="仿宋_GB2312" w:hAnsi="仿宋" w:eastAsia="仿宋_GB2312"/>
          <w:b/>
        </w:rPr>
        <w:t>、</w:t>
      </w:r>
      <w:r>
        <w:rPr>
          <w:rFonts w:hint="eastAsia" w:ascii="仿宋_GB2312" w:hAnsi="仿宋" w:eastAsia="仿宋_GB2312"/>
        </w:rPr>
        <w:t>本方案的修改权、解释权属于主办单位。未尽事宜，另行通知。</w:t>
      </w:r>
    </w:p>
    <w:p/>
    <w:sectPr>
      <w:pgSz w:w="11906" w:h="16838"/>
      <w:pgMar w:top="2154" w:right="1474" w:bottom="1984" w:left="1587" w:header="851" w:footer="992"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1F7A"/>
    <w:rsid w:val="006A5D82"/>
    <w:rsid w:val="006E5C68"/>
    <w:rsid w:val="00711F7A"/>
    <w:rsid w:val="009B0704"/>
    <w:rsid w:val="00E87C0F"/>
    <w:rsid w:val="00EE56D7"/>
    <w:rsid w:val="08B7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0"/>
      <w:sz w:val="32"/>
      <w:szCs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547</Words>
  <Characters>3123</Characters>
  <Lines>26</Lines>
  <Paragraphs>7</Paragraphs>
  <TotalTime>3</TotalTime>
  <ScaleCrop>false</ScaleCrop>
  <LinksUpToDate>false</LinksUpToDate>
  <CharactersWithSpaces>3663</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2019-07-05T08:42:00Z</dcterms:created>
  <dc:creator>Administrator</dc:creator>
  <cp:lastModifiedBy>Administrator</cp:lastModifiedBy>
  <dcterms:modified xsi:type="dcterms:W3CDTF">2019-07-05T09:19:58Z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