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val="0"/>
        <w:spacing w:before="0" w:after="0" w:line="580" w:lineRule="exact"/>
        <w:rPr>
          <w:rFonts w:hint="eastAsia" w:ascii="黑体" w:cs="宋体"/>
          <w:b w:val="0"/>
          <w:bCs w:val="0"/>
          <w:color w:val="000000"/>
          <w:spacing w:val="20"/>
          <w:lang w:bidi="ar-SA"/>
        </w:rPr>
      </w:pPr>
      <w:bookmarkStart w:id="0" w:name="_Toc8715"/>
      <w:r>
        <w:rPr>
          <w:rFonts w:hint="eastAsia" w:ascii="黑体" w:cs="宋体"/>
          <w:b w:val="0"/>
          <w:bCs w:val="0"/>
          <w:color w:val="000000"/>
          <w:spacing w:val="20"/>
          <w:lang w:bidi="ar-SA"/>
        </w:rPr>
        <w:t>附件2</w:t>
      </w:r>
    </w:p>
    <w:p>
      <w:pPr>
        <w:pStyle w:val="2"/>
        <w:keepNext w:val="0"/>
        <w:keepLines w:val="0"/>
        <w:widowControl w:val="0"/>
        <w:spacing w:before="0" w:after="0" w:line="580" w:lineRule="exact"/>
        <w:jc w:val="center"/>
        <w:rPr>
          <w:rFonts w:hint="eastAsia" w:ascii="方正小标宋简体" w:eastAsia="方正小标宋简体" w:cs="宋体"/>
          <w:b w:val="0"/>
          <w:bCs w:val="0"/>
          <w:color w:val="000000"/>
          <w:spacing w:val="20"/>
          <w:sz w:val="44"/>
          <w:szCs w:val="44"/>
          <w:lang w:bidi="ar-SA"/>
        </w:rPr>
      </w:pPr>
      <w:r>
        <w:rPr>
          <w:rFonts w:hint="eastAsia" w:ascii="方正小标宋简体" w:eastAsia="方正小标宋简体" w:cs="宋体"/>
          <w:b w:val="0"/>
          <w:bCs w:val="0"/>
          <w:color w:val="000000"/>
          <w:spacing w:val="20"/>
          <w:sz w:val="44"/>
          <w:szCs w:val="44"/>
          <w:lang w:bidi="ar-SA"/>
        </w:rPr>
        <w:t>评分标准</w:t>
      </w:r>
    </w:p>
    <w:p>
      <w:pPr>
        <w:spacing w:after="0" w:line="580" w:lineRule="exact"/>
        <w:jc w:val="both"/>
        <w:rPr>
          <w:rFonts w:hint="eastAsia" w:ascii="仿宋_GB2312" w:eastAsia="仿宋_GB2312"/>
          <w:b/>
          <w:spacing w:val="20"/>
          <w:sz w:val="32"/>
          <w:szCs w:val="32"/>
        </w:rPr>
      </w:pPr>
      <w:r>
        <w:rPr>
          <w:rFonts w:hint="eastAsia" w:ascii="仿宋_GB2312" w:eastAsia="仿宋_GB2312" w:cs="宋体"/>
          <w:bCs/>
          <w:color w:val="000000"/>
          <w:spacing w:val="20"/>
          <w:sz w:val="32"/>
          <w:szCs w:val="32"/>
          <w:lang w:bidi="ar-SA"/>
        </w:rPr>
        <w:t xml:space="preserve"> </w:t>
      </w:r>
      <w:r>
        <w:rPr>
          <w:rFonts w:hint="eastAsia" w:ascii="仿宋_GB2312" w:eastAsia="仿宋_GB2312" w:cs="宋体"/>
          <w:color w:val="000000"/>
          <w:spacing w:val="20"/>
          <w:sz w:val="32"/>
          <w:szCs w:val="32"/>
          <w:lang w:bidi="ar-SA"/>
        </w:rPr>
        <w:t xml:space="preserve">     </w:t>
      </w:r>
      <w:bookmarkEnd w:id="0"/>
    </w:p>
    <w:tbl>
      <w:tblPr>
        <w:tblStyle w:val="5"/>
        <w:tblW w:w="9609" w:type="dxa"/>
        <w:tblInd w:w="-179" w:type="dxa"/>
        <w:tblLayout w:type="autofit"/>
        <w:tblCellMar>
          <w:top w:w="0" w:type="dxa"/>
          <w:left w:w="108" w:type="dxa"/>
          <w:bottom w:w="0" w:type="dxa"/>
          <w:right w:w="108" w:type="dxa"/>
        </w:tblCellMar>
      </w:tblPr>
      <w:tblGrid>
        <w:gridCol w:w="487"/>
        <w:gridCol w:w="1028"/>
        <w:gridCol w:w="998"/>
        <w:gridCol w:w="4925"/>
        <w:gridCol w:w="2171"/>
      </w:tblGrid>
      <w:tr>
        <w:tblPrEx>
          <w:tblCellMar>
            <w:top w:w="0" w:type="dxa"/>
            <w:left w:w="108" w:type="dxa"/>
            <w:bottom w:w="0" w:type="dxa"/>
            <w:right w:w="108" w:type="dxa"/>
          </w:tblCellMar>
        </w:tblPrEx>
        <w:trPr>
          <w:trHeight w:val="860" w:hRule="atLeast"/>
        </w:trPr>
        <w:tc>
          <w:tcPr>
            <w:tcW w:w="487" w:type="dxa"/>
            <w:tcBorders>
              <w:top w:val="single" w:color="000000" w:sz="8" w:space="0"/>
              <w:left w:val="single" w:color="000000" w:sz="8" w:space="0"/>
              <w:bottom w:val="single" w:color="000000" w:sz="8" w:space="0"/>
              <w:right w:val="single" w:color="000000" w:sz="8" w:space="0"/>
            </w:tcBorders>
            <w:noWrap w:val="0"/>
            <w:vAlign w:val="center"/>
          </w:tcPr>
          <w:p>
            <w:pPr>
              <w:jc w:val="center"/>
              <w:textAlignment w:val="center"/>
              <w:rPr>
                <w:rFonts w:hint="eastAsia" w:ascii="宋体" w:eastAsia="宋体" w:cs="宋体"/>
                <w:b/>
                <w:bCs/>
                <w:color w:val="000000"/>
                <w:sz w:val="24"/>
                <w:szCs w:val="24"/>
                <w:lang w:bidi="ar-SA"/>
              </w:rPr>
            </w:pPr>
            <w:r>
              <w:rPr>
                <w:rFonts w:hint="eastAsia" w:ascii="宋体" w:eastAsia="宋体" w:cs="宋体"/>
                <w:b/>
                <w:bCs/>
                <w:color w:val="000000"/>
                <w:sz w:val="24"/>
                <w:szCs w:val="24"/>
                <w:lang w:bidi="ar-SA"/>
              </w:rPr>
              <w:t>序号</w:t>
            </w:r>
          </w:p>
        </w:tc>
        <w:tc>
          <w:tcPr>
            <w:tcW w:w="1028" w:type="dxa"/>
            <w:tcBorders>
              <w:top w:val="single" w:color="000000" w:sz="8" w:space="0"/>
              <w:left w:val="nil"/>
              <w:bottom w:val="single" w:color="000000" w:sz="8" w:space="0"/>
              <w:right w:val="single" w:color="000000" w:sz="8" w:space="0"/>
            </w:tcBorders>
            <w:noWrap w:val="0"/>
            <w:vAlign w:val="center"/>
          </w:tcPr>
          <w:p>
            <w:pPr>
              <w:jc w:val="center"/>
              <w:textAlignment w:val="center"/>
              <w:rPr>
                <w:rFonts w:hint="eastAsia" w:ascii="宋体" w:eastAsia="宋体" w:cs="宋体"/>
                <w:b/>
                <w:bCs/>
                <w:color w:val="000000"/>
                <w:sz w:val="24"/>
                <w:szCs w:val="24"/>
                <w:lang w:bidi="ar-SA"/>
              </w:rPr>
            </w:pPr>
            <w:r>
              <w:rPr>
                <w:rFonts w:hint="eastAsia" w:ascii="宋体" w:eastAsia="宋体" w:cs="宋体"/>
                <w:b/>
                <w:bCs/>
                <w:color w:val="000000"/>
                <w:sz w:val="24"/>
                <w:szCs w:val="24"/>
                <w:lang w:bidi="ar-SA"/>
              </w:rPr>
              <w:t>评分项目</w:t>
            </w:r>
          </w:p>
        </w:tc>
        <w:tc>
          <w:tcPr>
            <w:tcW w:w="998" w:type="dxa"/>
            <w:tcBorders>
              <w:top w:val="single" w:color="000000" w:sz="8" w:space="0"/>
              <w:left w:val="nil"/>
              <w:bottom w:val="single" w:color="000000" w:sz="8" w:space="0"/>
              <w:right w:val="single" w:color="000000" w:sz="8" w:space="0"/>
            </w:tcBorders>
            <w:noWrap w:val="0"/>
            <w:vAlign w:val="center"/>
          </w:tcPr>
          <w:p>
            <w:pPr>
              <w:jc w:val="center"/>
              <w:textAlignment w:val="center"/>
              <w:rPr>
                <w:rFonts w:hint="eastAsia" w:ascii="宋体" w:eastAsia="宋体" w:cs="宋体"/>
                <w:b/>
                <w:bCs/>
                <w:color w:val="000000"/>
                <w:sz w:val="24"/>
                <w:szCs w:val="24"/>
                <w:lang w:bidi="ar-SA"/>
              </w:rPr>
            </w:pPr>
            <w:r>
              <w:rPr>
                <w:rFonts w:hint="eastAsia" w:ascii="宋体" w:eastAsia="宋体" w:cs="宋体"/>
                <w:b/>
                <w:bCs/>
                <w:color w:val="000000"/>
                <w:sz w:val="24"/>
                <w:szCs w:val="24"/>
                <w:lang w:bidi="ar-SA"/>
              </w:rPr>
              <w:t>分值（分）</w:t>
            </w:r>
          </w:p>
        </w:tc>
        <w:tc>
          <w:tcPr>
            <w:tcW w:w="4925" w:type="dxa"/>
            <w:tcBorders>
              <w:top w:val="single" w:color="000000" w:sz="8" w:space="0"/>
              <w:left w:val="nil"/>
              <w:bottom w:val="single" w:color="000000" w:sz="8" w:space="0"/>
              <w:right w:val="single" w:color="000000" w:sz="8" w:space="0"/>
            </w:tcBorders>
            <w:noWrap w:val="0"/>
            <w:vAlign w:val="center"/>
          </w:tcPr>
          <w:p>
            <w:pPr>
              <w:jc w:val="center"/>
              <w:textAlignment w:val="center"/>
              <w:rPr>
                <w:rFonts w:hint="eastAsia" w:ascii="宋体" w:eastAsia="宋体" w:cs="宋体"/>
                <w:b/>
                <w:bCs/>
                <w:color w:val="000000"/>
                <w:sz w:val="24"/>
                <w:szCs w:val="24"/>
                <w:lang w:bidi="ar-SA"/>
              </w:rPr>
            </w:pPr>
            <w:r>
              <w:rPr>
                <w:rFonts w:hint="eastAsia" w:ascii="宋体" w:eastAsia="宋体" w:cs="宋体"/>
                <w:b/>
                <w:bCs/>
                <w:color w:val="000000"/>
                <w:sz w:val="24"/>
                <w:szCs w:val="24"/>
                <w:lang w:bidi="ar-SA"/>
              </w:rPr>
              <w:t>评分标准</w:t>
            </w:r>
          </w:p>
        </w:tc>
        <w:tc>
          <w:tcPr>
            <w:tcW w:w="2171" w:type="dxa"/>
            <w:tcBorders>
              <w:top w:val="single" w:color="000000" w:sz="8" w:space="0"/>
              <w:left w:val="nil"/>
              <w:bottom w:val="single" w:color="000000" w:sz="8" w:space="0"/>
              <w:right w:val="single" w:color="000000" w:sz="8" w:space="0"/>
            </w:tcBorders>
            <w:noWrap w:val="0"/>
            <w:vAlign w:val="center"/>
          </w:tcPr>
          <w:p>
            <w:pPr>
              <w:jc w:val="center"/>
              <w:textAlignment w:val="center"/>
              <w:rPr>
                <w:rFonts w:hint="eastAsia" w:ascii="宋体" w:eastAsia="宋体" w:cs="宋体"/>
                <w:b/>
                <w:bCs/>
                <w:color w:val="000000"/>
                <w:sz w:val="24"/>
                <w:szCs w:val="24"/>
                <w:lang w:bidi="ar-SA"/>
              </w:rPr>
            </w:pPr>
            <w:r>
              <w:rPr>
                <w:rFonts w:hint="eastAsia" w:ascii="宋体" w:eastAsia="宋体" w:cs="宋体"/>
                <w:b/>
                <w:bCs/>
                <w:color w:val="000000"/>
                <w:sz w:val="24"/>
                <w:szCs w:val="24"/>
                <w:lang w:bidi="ar-SA"/>
              </w:rPr>
              <w:t>说明</w:t>
            </w:r>
          </w:p>
        </w:tc>
      </w:tr>
      <w:tr>
        <w:tblPrEx>
          <w:tblCellMar>
            <w:top w:w="0" w:type="dxa"/>
            <w:left w:w="108" w:type="dxa"/>
            <w:bottom w:w="0" w:type="dxa"/>
            <w:right w:w="108" w:type="dxa"/>
          </w:tblCellMar>
        </w:tblPrEx>
        <w:trPr>
          <w:trHeight w:val="90" w:hRule="atLeast"/>
        </w:trPr>
        <w:tc>
          <w:tcPr>
            <w:tcW w:w="487" w:type="dxa"/>
            <w:tcBorders>
              <w:top w:val="nil"/>
              <w:left w:val="single" w:color="000000" w:sz="8" w:space="0"/>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1</w:t>
            </w:r>
          </w:p>
        </w:tc>
        <w:tc>
          <w:tcPr>
            <w:tcW w:w="1028" w:type="dxa"/>
            <w:tcBorders>
              <w:top w:val="nil"/>
              <w:left w:val="nil"/>
              <w:bottom w:val="single" w:color="000000" w:sz="8" w:space="0"/>
              <w:right w:val="single" w:color="000000" w:sz="8" w:space="0"/>
            </w:tcBorders>
            <w:noWrap w:val="0"/>
            <w:vAlign w:val="center"/>
          </w:tcPr>
          <w:p>
            <w:pPr>
              <w:widowControl/>
              <w:spacing w:line="360" w:lineRule="exact"/>
              <w:ind w:firstLine="0"/>
              <w:jc w:val="center"/>
              <w:rPr>
                <w:rFonts w:hint="eastAsia" w:ascii="宋体" w:eastAsia="宋体" w:cs="Times New Roman"/>
                <w:kern w:val="0"/>
                <w:sz w:val="21"/>
                <w:szCs w:val="28"/>
                <w:lang w:bidi="ar-SA"/>
              </w:rPr>
            </w:pPr>
            <w:r>
              <w:rPr>
                <w:rFonts w:hint="eastAsia" w:ascii="宋体" w:eastAsia="宋体" w:cs="Times New Roman"/>
                <w:kern w:val="0"/>
                <w:sz w:val="21"/>
                <w:szCs w:val="28"/>
                <w:lang w:bidi="ar-SA"/>
              </w:rPr>
              <w:t>报价</w:t>
            </w:r>
          </w:p>
        </w:tc>
        <w:tc>
          <w:tcPr>
            <w:tcW w:w="998" w:type="dxa"/>
            <w:tcBorders>
              <w:top w:val="nil"/>
              <w:left w:val="nil"/>
              <w:bottom w:val="single" w:color="000000" w:sz="8" w:space="0"/>
              <w:right w:val="single" w:color="000000" w:sz="8" w:space="0"/>
            </w:tcBorders>
            <w:noWrap w:val="0"/>
            <w:vAlign w:val="center"/>
          </w:tcPr>
          <w:p>
            <w:pPr>
              <w:widowControl/>
              <w:spacing w:line="360" w:lineRule="exact"/>
              <w:ind w:firstLine="0"/>
              <w:jc w:val="center"/>
              <w:rPr>
                <w:rFonts w:hint="eastAsia" w:ascii="宋体" w:eastAsia="宋体" w:cs="Times New Roman"/>
                <w:kern w:val="0"/>
                <w:sz w:val="21"/>
                <w:szCs w:val="21"/>
                <w:lang w:bidi="ar-SA"/>
              </w:rPr>
            </w:pPr>
            <w:r>
              <w:rPr>
                <w:rFonts w:hint="eastAsia" w:ascii="宋体" w:eastAsia="宋体" w:cs="Times New Roman"/>
                <w:kern w:val="0"/>
                <w:sz w:val="21"/>
                <w:szCs w:val="21"/>
                <w:lang w:val="en-US" w:eastAsia="zh-CN" w:bidi="ar-SA"/>
              </w:rPr>
              <w:t>15</w:t>
            </w:r>
          </w:p>
        </w:tc>
        <w:tc>
          <w:tcPr>
            <w:tcW w:w="4925" w:type="dxa"/>
            <w:tcBorders>
              <w:top w:val="nil"/>
              <w:left w:val="nil"/>
              <w:bottom w:val="single" w:color="000000" w:sz="8" w:space="0"/>
              <w:right w:val="single" w:color="000000" w:sz="8" w:space="0"/>
            </w:tcBorders>
            <w:noWrap w:val="0"/>
            <w:vAlign w:val="center"/>
          </w:tcPr>
          <w:p>
            <w:pPr>
              <w:bidi w:val="0"/>
              <w:spacing w:line="240" w:lineRule="auto"/>
              <w:ind w:firstLine="0"/>
              <w:rPr>
                <w:rFonts w:ascii="Calibri" w:hAnsi="Calibri" w:eastAsia="宋体" w:cs="Times New Roman"/>
                <w:sz w:val="21"/>
                <w:lang w:bidi="ar-SA"/>
              </w:rPr>
            </w:pPr>
            <w:r>
              <w:rPr>
                <w:rFonts w:hint="eastAsia" w:ascii="Calibri" w:hAnsi="Calibri" w:eastAsia="宋体" w:cs="Times New Roman"/>
                <w:sz w:val="21"/>
                <w:lang w:bidi="ar-SA"/>
              </w:rPr>
              <w:t>满足文件要求且报价最低的报价为基准价，其价格分为满分。其他供应商的价格分统一按照下列公式计算：报价得分=(基准价／报价)* 15%*100</w:t>
            </w:r>
          </w:p>
        </w:tc>
        <w:tc>
          <w:tcPr>
            <w:tcW w:w="2171"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p>
        </w:tc>
      </w:tr>
      <w:tr>
        <w:tblPrEx>
          <w:tblCellMar>
            <w:top w:w="0" w:type="dxa"/>
            <w:left w:w="108" w:type="dxa"/>
            <w:bottom w:w="0" w:type="dxa"/>
            <w:right w:w="108" w:type="dxa"/>
          </w:tblCellMar>
        </w:tblPrEx>
        <w:trPr>
          <w:trHeight w:val="90" w:hRule="atLeast"/>
        </w:trPr>
        <w:tc>
          <w:tcPr>
            <w:tcW w:w="487" w:type="dxa"/>
            <w:tcBorders>
              <w:top w:val="nil"/>
              <w:left w:val="single" w:color="000000" w:sz="8" w:space="0"/>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2</w:t>
            </w:r>
          </w:p>
        </w:tc>
        <w:tc>
          <w:tcPr>
            <w:tcW w:w="1028" w:type="dxa"/>
            <w:tcBorders>
              <w:top w:val="nil"/>
              <w:left w:val="nil"/>
              <w:bottom w:val="single" w:color="000000" w:sz="8" w:space="0"/>
              <w:right w:val="single" w:color="000000" w:sz="8" w:space="0"/>
            </w:tcBorders>
            <w:noWrap w:val="0"/>
            <w:vAlign w:val="center"/>
          </w:tcPr>
          <w:p>
            <w:pPr>
              <w:widowControl/>
              <w:spacing w:line="240" w:lineRule="auto"/>
              <w:ind w:firstLine="0"/>
              <w:jc w:val="center"/>
              <w:rPr>
                <w:rFonts w:hint="eastAsia" w:ascii="Calibri" w:hAnsi="Calibri" w:eastAsia="宋体" w:cs="Times New Roman"/>
                <w:sz w:val="21"/>
                <w:lang w:bidi="ar-SA"/>
              </w:rPr>
            </w:pPr>
            <w:r>
              <w:rPr>
                <w:rFonts w:hint="eastAsia" w:ascii="Calibri" w:hAnsi="Calibri" w:eastAsia="宋体" w:cs="Times New Roman"/>
                <w:sz w:val="21"/>
                <w:lang w:bidi="ar-SA"/>
              </w:rPr>
              <w:t>供应商综合实力</w:t>
            </w:r>
          </w:p>
        </w:tc>
        <w:tc>
          <w:tcPr>
            <w:tcW w:w="998" w:type="dxa"/>
            <w:tcBorders>
              <w:top w:val="nil"/>
              <w:left w:val="nil"/>
              <w:bottom w:val="single" w:color="000000" w:sz="8" w:space="0"/>
              <w:right w:val="single" w:color="000000" w:sz="8" w:space="0"/>
            </w:tcBorders>
            <w:noWrap w:val="0"/>
            <w:vAlign w:val="center"/>
          </w:tcPr>
          <w:p>
            <w:pPr>
              <w:widowControl/>
              <w:spacing w:line="360" w:lineRule="exact"/>
              <w:ind w:firstLine="0"/>
              <w:jc w:val="center"/>
              <w:rPr>
                <w:rFonts w:hint="eastAsia" w:ascii="宋体" w:eastAsia="宋体" w:cs="Times New Roman"/>
                <w:kern w:val="0"/>
                <w:sz w:val="21"/>
                <w:szCs w:val="21"/>
                <w:lang w:bidi="ar-SA"/>
              </w:rPr>
            </w:pPr>
            <w:r>
              <w:rPr>
                <w:rFonts w:hint="eastAsia" w:ascii="宋体" w:eastAsia="宋体" w:cs="Times New Roman"/>
                <w:kern w:val="0"/>
                <w:sz w:val="21"/>
                <w:szCs w:val="21"/>
                <w:lang w:val="en-US" w:eastAsia="zh-CN" w:bidi="ar-SA"/>
              </w:rPr>
              <w:t>32</w:t>
            </w:r>
          </w:p>
        </w:tc>
        <w:tc>
          <w:tcPr>
            <w:tcW w:w="4925" w:type="dxa"/>
            <w:tcBorders>
              <w:top w:val="nil"/>
              <w:left w:val="nil"/>
              <w:bottom w:val="single" w:color="000000" w:sz="8" w:space="0"/>
              <w:right w:val="single" w:color="000000" w:sz="8" w:space="0"/>
            </w:tcBorders>
            <w:noWrap w:val="0"/>
            <w:vAlign w:val="center"/>
          </w:tcPr>
          <w:p>
            <w:pPr>
              <w:widowControl/>
              <w:spacing w:line="240" w:lineRule="auto"/>
              <w:ind w:firstLine="0"/>
              <w:jc w:val="left"/>
              <w:rPr>
                <w:rFonts w:hint="eastAsia" w:ascii="Calibri" w:hAnsi="Calibri" w:eastAsia="宋体" w:cs="Times New Roman"/>
                <w:sz w:val="21"/>
                <w:lang w:bidi="ar-SA"/>
              </w:rPr>
            </w:pPr>
            <w:r>
              <w:rPr>
                <w:rFonts w:hint="eastAsia" w:ascii="Calibri" w:hAnsi="Calibri" w:eastAsia="宋体" w:cs="Times New Roman"/>
                <w:sz w:val="21"/>
                <w:lang w:bidi="ar-SA"/>
              </w:rPr>
              <w:t>1、供应商取得电子认证服务系统信息安全等级保护三级及以上备案证明的，得3分；二级备案证明的，得1分；一级备案证明的，得0.5分。（说明：提供证书复印件。）</w:t>
            </w:r>
          </w:p>
          <w:p>
            <w:pPr>
              <w:widowControl/>
              <w:spacing w:line="240" w:lineRule="auto"/>
              <w:ind w:firstLine="0"/>
              <w:jc w:val="left"/>
              <w:rPr>
                <w:rFonts w:hint="eastAsia" w:ascii="Calibri" w:hAnsi="Calibri" w:eastAsia="宋体" w:cs="Times New Roman"/>
                <w:sz w:val="21"/>
                <w:lang w:bidi="ar-SA"/>
              </w:rPr>
            </w:pPr>
            <w:r>
              <w:rPr>
                <w:rFonts w:hint="eastAsia" w:ascii="Calibri" w:hAnsi="Calibri" w:eastAsia="宋体" w:cs="Times New Roman"/>
                <w:sz w:val="21"/>
                <w:lang w:bidi="ar-SA"/>
              </w:rPr>
              <w:t>2、供应商同时具有有效的GB/T19001系列或ISO9001系列质量管理体系认证证书和ISO/IEC 27001系统信息安全管理体系认证证书的得</w:t>
            </w:r>
            <w:r>
              <w:rPr>
                <w:rFonts w:hint="eastAsia" w:ascii="Calibri" w:hAnsi="Calibri" w:eastAsia="宋体" w:cs="Times New Roman"/>
                <w:sz w:val="21"/>
                <w:lang w:val="en-US" w:eastAsia="zh-CN" w:bidi="ar-SA"/>
              </w:rPr>
              <w:t>5</w:t>
            </w:r>
            <w:r>
              <w:rPr>
                <w:rFonts w:hint="eastAsia" w:ascii="Calibri" w:hAnsi="Calibri" w:eastAsia="宋体" w:cs="Times New Roman"/>
                <w:sz w:val="21"/>
                <w:lang w:bidi="ar-SA"/>
              </w:rPr>
              <w:t>分，只具有以上其中一项证书的得</w:t>
            </w:r>
            <w:r>
              <w:rPr>
                <w:rFonts w:hint="eastAsia" w:ascii="Calibri" w:hAnsi="Calibri" w:eastAsia="宋体" w:cs="Times New Roman"/>
                <w:sz w:val="21"/>
                <w:lang w:val="en-US" w:eastAsia="zh-CN" w:bidi="ar-SA"/>
              </w:rPr>
              <w:t>2</w:t>
            </w:r>
            <w:r>
              <w:rPr>
                <w:rFonts w:hint="eastAsia" w:ascii="Calibri" w:hAnsi="Calibri" w:eastAsia="宋体" w:cs="Times New Roman"/>
                <w:sz w:val="21"/>
                <w:lang w:bidi="ar-SA"/>
              </w:rPr>
              <w:t>分。（说明：提供证书复印件。）</w:t>
            </w:r>
          </w:p>
          <w:p>
            <w:pPr>
              <w:widowControl/>
              <w:spacing w:line="240" w:lineRule="auto"/>
              <w:ind w:firstLine="0"/>
              <w:jc w:val="left"/>
              <w:rPr>
                <w:rFonts w:hint="eastAsia" w:ascii="Calibri" w:hAnsi="Calibri" w:eastAsia="宋体" w:cs="Times New Roman"/>
                <w:sz w:val="21"/>
                <w:lang w:bidi="ar-SA"/>
              </w:rPr>
            </w:pPr>
            <w:r>
              <w:rPr>
                <w:rFonts w:hint="eastAsia" w:ascii="Calibri" w:hAnsi="Calibri" w:eastAsia="宋体" w:cs="Times New Roman"/>
                <w:sz w:val="21"/>
                <w:lang w:bidi="ar-SA"/>
              </w:rPr>
              <w:t>3、供应商具有ITSS信息技术服务运行维护资质三级及以上证书的，得3分；供应商具有ITSS信息技术服务运行维护资质四级证书的，得1分。（说明：提供证书复印件。）</w:t>
            </w:r>
          </w:p>
          <w:p>
            <w:pPr>
              <w:widowControl/>
              <w:spacing w:line="240" w:lineRule="auto"/>
              <w:ind w:firstLine="0"/>
              <w:jc w:val="left"/>
              <w:rPr>
                <w:rFonts w:hint="eastAsia" w:ascii="Calibri" w:hAnsi="Calibri" w:eastAsia="宋体" w:cs="Times New Roman"/>
                <w:sz w:val="21"/>
                <w:lang w:bidi="ar-SA"/>
              </w:rPr>
            </w:pPr>
            <w:r>
              <w:rPr>
                <w:rFonts w:hint="eastAsia" w:ascii="Calibri" w:hAnsi="Calibri" w:eastAsia="宋体" w:cs="Times New Roman"/>
                <w:sz w:val="21"/>
                <w:lang w:bidi="ar-SA"/>
              </w:rPr>
              <w:t>4、供应商具有CMMI能力成熟度集成模型三级及以上证书的得3分；供应商具有CMMI能力成熟度集成模型二级证书的得1分；供应商具有CMMI能力成熟度集成模型一级证书的得0.5分。（说明：提供证书复印件。）</w:t>
            </w:r>
          </w:p>
          <w:p>
            <w:pPr>
              <w:widowControl/>
              <w:spacing w:line="240" w:lineRule="auto"/>
              <w:ind w:firstLine="0"/>
              <w:jc w:val="left"/>
              <w:rPr>
                <w:rFonts w:hint="eastAsia" w:ascii="Calibri" w:hAnsi="Calibri" w:eastAsia="宋体" w:cs="Times New Roman"/>
                <w:sz w:val="21"/>
                <w:lang w:bidi="ar-SA"/>
              </w:rPr>
            </w:pPr>
            <w:r>
              <w:rPr>
                <w:rFonts w:hint="eastAsia" w:ascii="Calibri" w:hAnsi="Calibri" w:eastAsia="宋体" w:cs="Times New Roman"/>
                <w:sz w:val="21"/>
                <w:lang w:bidi="ar-SA"/>
              </w:rPr>
              <w:t>5、供应商具有中国网络安全审查技术与认证中心颁发的信息安全服务资质认证证书-网络安全审计服务三级及以上资质的得</w:t>
            </w:r>
            <w:r>
              <w:rPr>
                <w:rFonts w:hint="eastAsia" w:ascii="Calibri" w:hAnsi="Calibri" w:eastAsia="宋体" w:cs="Times New Roman"/>
                <w:sz w:val="21"/>
                <w:lang w:val="en-US" w:eastAsia="zh-CN" w:bidi="ar-SA"/>
              </w:rPr>
              <w:t>4</w:t>
            </w:r>
            <w:r>
              <w:rPr>
                <w:rFonts w:hint="eastAsia" w:ascii="Calibri" w:hAnsi="Calibri" w:eastAsia="宋体" w:cs="Times New Roman"/>
                <w:sz w:val="21"/>
                <w:lang w:bidi="ar-SA"/>
              </w:rPr>
              <w:t>分。（说明：提供证书复印件。）</w:t>
            </w:r>
          </w:p>
          <w:p>
            <w:pPr>
              <w:widowControl/>
              <w:spacing w:line="240" w:lineRule="auto"/>
              <w:ind w:firstLine="0"/>
              <w:jc w:val="left"/>
              <w:rPr>
                <w:rFonts w:hint="eastAsia" w:ascii="Calibri" w:hAnsi="Calibri" w:eastAsia="宋体" w:cs="Times New Roman"/>
                <w:sz w:val="21"/>
                <w:lang w:bidi="ar-SA"/>
              </w:rPr>
            </w:pPr>
            <w:r>
              <w:rPr>
                <w:rFonts w:hint="eastAsia" w:ascii="Calibri" w:hAnsi="Calibri" w:eastAsia="宋体" w:cs="Times New Roman"/>
                <w:sz w:val="21"/>
                <w:lang w:bidi="ar-SA"/>
              </w:rPr>
              <w:t>6、供应商具有中国网络安全审查技术与认证中心颁发的信息安全服务资质认证证书-信息系统安全集成二级及以上资质的得</w:t>
            </w:r>
            <w:r>
              <w:rPr>
                <w:rFonts w:hint="eastAsia" w:ascii="Calibri" w:hAnsi="Calibri" w:eastAsia="宋体" w:cs="Times New Roman"/>
                <w:sz w:val="21"/>
                <w:lang w:val="en-US" w:eastAsia="zh-CN" w:bidi="ar-SA"/>
              </w:rPr>
              <w:t>4</w:t>
            </w:r>
            <w:r>
              <w:rPr>
                <w:rFonts w:hint="eastAsia" w:ascii="Calibri" w:hAnsi="Calibri" w:eastAsia="宋体" w:cs="Times New Roman"/>
                <w:sz w:val="21"/>
                <w:lang w:bidi="ar-SA"/>
              </w:rPr>
              <w:t>分；供应商具有中国网络安全审查技术与认证中心颁发的信息安全服务资质认证证书-信息系统安全集成三级资质的得1分。（说明：提供证书复印件）</w:t>
            </w:r>
          </w:p>
          <w:p>
            <w:pPr>
              <w:widowControl/>
              <w:spacing w:line="240" w:lineRule="auto"/>
              <w:ind w:firstLine="0"/>
              <w:jc w:val="left"/>
              <w:rPr>
                <w:rFonts w:hint="eastAsia" w:ascii="Calibri" w:hAnsi="Calibri" w:eastAsia="宋体" w:cs="Times New Roman"/>
                <w:sz w:val="21"/>
                <w:lang w:val="en-US" w:eastAsia="zh-CN" w:bidi="ar-SA"/>
              </w:rPr>
            </w:pPr>
            <w:r>
              <w:rPr>
                <w:rFonts w:hint="eastAsia" w:ascii="Calibri" w:hAnsi="Calibri" w:eastAsia="宋体" w:cs="Times New Roman"/>
                <w:sz w:val="21"/>
                <w:lang w:val="en-US" w:eastAsia="zh-CN" w:bidi="ar-SA"/>
              </w:rPr>
              <w:t>7、供应商具备PKI技术方向、数字签名技术方向、防伪方法方向、验证方法方向的专利，同时具备4个的，得10分；具备3个的，得5分；具备1-2个的，得2分；没有的，不得分。（说明：提供证书复印件）</w:t>
            </w:r>
          </w:p>
        </w:tc>
        <w:tc>
          <w:tcPr>
            <w:tcW w:w="2171"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p>
        </w:tc>
      </w:tr>
      <w:tr>
        <w:tblPrEx>
          <w:tblCellMar>
            <w:top w:w="0" w:type="dxa"/>
            <w:left w:w="108" w:type="dxa"/>
            <w:bottom w:w="0" w:type="dxa"/>
            <w:right w:w="108" w:type="dxa"/>
          </w:tblCellMar>
        </w:tblPrEx>
        <w:trPr>
          <w:trHeight w:val="860" w:hRule="atLeast"/>
        </w:trPr>
        <w:tc>
          <w:tcPr>
            <w:tcW w:w="487" w:type="dxa"/>
            <w:tcBorders>
              <w:top w:val="nil"/>
              <w:left w:val="single" w:color="000000" w:sz="8" w:space="0"/>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3</w:t>
            </w:r>
          </w:p>
        </w:tc>
        <w:tc>
          <w:tcPr>
            <w:tcW w:w="1028" w:type="dxa"/>
            <w:tcBorders>
              <w:top w:val="nil"/>
              <w:left w:val="nil"/>
              <w:bottom w:val="single" w:color="000000" w:sz="8" w:space="0"/>
              <w:right w:val="single" w:color="000000" w:sz="8" w:space="0"/>
            </w:tcBorders>
            <w:noWrap w:val="0"/>
            <w:vAlign w:val="center"/>
          </w:tcPr>
          <w:p>
            <w:pPr>
              <w:widowControl/>
              <w:spacing w:line="240" w:lineRule="auto"/>
              <w:ind w:firstLine="0"/>
              <w:jc w:val="center"/>
              <w:rPr>
                <w:rFonts w:hint="eastAsia" w:ascii="宋体" w:eastAsia="宋体" w:cs="Times New Roman"/>
                <w:kern w:val="0"/>
                <w:sz w:val="21"/>
                <w:szCs w:val="24"/>
                <w:lang w:bidi="ar-SA"/>
              </w:rPr>
            </w:pPr>
            <w:r>
              <w:rPr>
                <w:rFonts w:hint="eastAsia" w:ascii="宋体" w:eastAsia="宋体" w:cs="Times New Roman"/>
                <w:kern w:val="0"/>
                <w:sz w:val="21"/>
                <w:szCs w:val="24"/>
                <w:lang w:bidi="ar-SA"/>
              </w:rPr>
              <w:t>业绩</w:t>
            </w:r>
          </w:p>
        </w:tc>
        <w:tc>
          <w:tcPr>
            <w:tcW w:w="998" w:type="dxa"/>
            <w:tcBorders>
              <w:top w:val="nil"/>
              <w:left w:val="nil"/>
              <w:bottom w:val="single" w:color="000000" w:sz="8" w:space="0"/>
              <w:right w:val="single" w:color="000000" w:sz="8" w:space="0"/>
            </w:tcBorders>
            <w:noWrap w:val="0"/>
            <w:vAlign w:val="center"/>
          </w:tcPr>
          <w:p>
            <w:pPr>
              <w:widowControl/>
              <w:spacing w:line="360" w:lineRule="exact"/>
              <w:ind w:firstLine="0"/>
              <w:jc w:val="center"/>
              <w:rPr>
                <w:rFonts w:hint="eastAsia" w:ascii="宋体" w:eastAsia="宋体" w:cs="Times New Roman"/>
                <w:kern w:val="0"/>
                <w:sz w:val="21"/>
                <w:szCs w:val="21"/>
                <w:lang w:bidi="ar-SA"/>
              </w:rPr>
            </w:pPr>
            <w:r>
              <w:rPr>
                <w:rFonts w:hint="eastAsia" w:ascii="宋体" w:eastAsia="宋体" w:cs="Times New Roman"/>
                <w:kern w:val="0"/>
                <w:sz w:val="21"/>
                <w:szCs w:val="21"/>
                <w:lang w:val="en-US" w:eastAsia="zh-CN" w:bidi="ar-SA"/>
              </w:rPr>
              <w:t>4</w:t>
            </w:r>
          </w:p>
        </w:tc>
        <w:tc>
          <w:tcPr>
            <w:tcW w:w="4925" w:type="dxa"/>
            <w:tcBorders>
              <w:top w:val="nil"/>
              <w:left w:val="nil"/>
              <w:bottom w:val="single" w:color="000000" w:sz="8" w:space="0"/>
              <w:right w:val="single" w:color="000000" w:sz="8" w:space="0"/>
            </w:tcBorders>
            <w:noWrap w:val="0"/>
            <w:vAlign w:val="center"/>
          </w:tcPr>
          <w:p>
            <w:pPr>
              <w:widowControl/>
              <w:spacing w:line="240" w:lineRule="auto"/>
              <w:ind w:firstLine="0"/>
              <w:jc w:val="left"/>
              <w:rPr>
                <w:rFonts w:hint="eastAsia" w:ascii="宋体" w:eastAsia="宋体" w:cs="Times New Roman"/>
                <w:kern w:val="0"/>
                <w:sz w:val="21"/>
                <w:szCs w:val="24"/>
                <w:lang w:bidi="ar-SA"/>
              </w:rPr>
            </w:pPr>
            <w:r>
              <w:rPr>
                <w:rFonts w:hint="eastAsia" w:ascii="宋体" w:eastAsia="宋体" w:cs="Times New Roman"/>
                <w:kern w:val="0"/>
                <w:sz w:val="21"/>
                <w:szCs w:val="24"/>
                <w:lang w:bidi="ar-SA"/>
              </w:rPr>
              <w:t>供应商自2018年1月1日（含1日）以来每具有1个电子认证数字证书综合服务类项目业绩的得1分，最多得</w:t>
            </w:r>
            <w:r>
              <w:rPr>
                <w:rFonts w:hint="eastAsia" w:ascii="宋体" w:eastAsia="宋体" w:cs="Times New Roman"/>
                <w:kern w:val="0"/>
                <w:sz w:val="21"/>
                <w:szCs w:val="24"/>
                <w:lang w:val="en-US" w:eastAsia="zh-CN" w:bidi="ar-SA"/>
              </w:rPr>
              <w:t>4</w:t>
            </w:r>
            <w:r>
              <w:rPr>
                <w:rFonts w:hint="eastAsia" w:ascii="宋体" w:eastAsia="宋体" w:cs="Times New Roman"/>
                <w:kern w:val="0"/>
                <w:sz w:val="21"/>
                <w:szCs w:val="24"/>
                <w:lang w:bidi="ar-SA"/>
              </w:rPr>
              <w:t>分。</w:t>
            </w:r>
          </w:p>
        </w:tc>
        <w:tc>
          <w:tcPr>
            <w:tcW w:w="2171"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项目业绩需提供合同项目扫描件关键页：包括合同内容、合同金额、签字盖章页等，并加盖供应商鲜章，否则不计分。</w:t>
            </w:r>
          </w:p>
        </w:tc>
      </w:tr>
      <w:tr>
        <w:tblPrEx>
          <w:tblCellMar>
            <w:top w:w="0" w:type="dxa"/>
            <w:left w:w="108" w:type="dxa"/>
            <w:bottom w:w="0" w:type="dxa"/>
            <w:right w:w="108" w:type="dxa"/>
          </w:tblCellMar>
        </w:tblPrEx>
        <w:trPr>
          <w:trHeight w:val="860" w:hRule="atLeast"/>
        </w:trPr>
        <w:tc>
          <w:tcPr>
            <w:tcW w:w="487" w:type="dxa"/>
            <w:tcBorders>
              <w:top w:val="nil"/>
              <w:left w:val="single" w:color="000000" w:sz="8" w:space="0"/>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4</w:t>
            </w:r>
          </w:p>
        </w:tc>
        <w:tc>
          <w:tcPr>
            <w:tcW w:w="1028" w:type="dxa"/>
            <w:tcBorders>
              <w:top w:val="nil"/>
              <w:left w:val="nil"/>
              <w:bottom w:val="single" w:color="000000" w:sz="8" w:space="0"/>
              <w:right w:val="single" w:color="000000" w:sz="8" w:space="0"/>
            </w:tcBorders>
            <w:noWrap w:val="0"/>
            <w:vAlign w:val="center"/>
          </w:tcPr>
          <w:p>
            <w:pPr>
              <w:widowControl/>
              <w:spacing w:line="240" w:lineRule="auto"/>
              <w:ind w:firstLine="0"/>
              <w:jc w:val="center"/>
              <w:rPr>
                <w:rFonts w:hint="eastAsia" w:ascii="宋体" w:eastAsia="宋体" w:cs="Times New Roman"/>
                <w:kern w:val="0"/>
                <w:sz w:val="21"/>
                <w:szCs w:val="24"/>
                <w:lang w:val="en-US" w:eastAsia="zh-CN" w:bidi="ar-SA"/>
              </w:rPr>
            </w:pPr>
            <w:r>
              <w:rPr>
                <w:rFonts w:hint="eastAsia" w:ascii="宋体" w:eastAsia="宋体" w:cs="Times New Roman"/>
                <w:kern w:val="0"/>
                <w:sz w:val="21"/>
                <w:szCs w:val="24"/>
                <w:lang w:val="en-US" w:eastAsia="zh-CN" w:bidi="ar-SA"/>
              </w:rPr>
              <w:t>服务能力</w:t>
            </w:r>
          </w:p>
        </w:tc>
        <w:tc>
          <w:tcPr>
            <w:tcW w:w="998" w:type="dxa"/>
            <w:tcBorders>
              <w:top w:val="nil"/>
              <w:left w:val="nil"/>
              <w:bottom w:val="single" w:color="000000" w:sz="8" w:space="0"/>
              <w:right w:val="single" w:color="000000" w:sz="8" w:space="0"/>
            </w:tcBorders>
            <w:noWrap w:val="0"/>
            <w:vAlign w:val="center"/>
          </w:tcPr>
          <w:p>
            <w:pPr>
              <w:widowControl/>
              <w:spacing w:line="360" w:lineRule="exact"/>
              <w:ind w:firstLine="0"/>
              <w:jc w:val="center"/>
              <w:rPr>
                <w:rFonts w:hint="eastAsia" w:ascii="宋体" w:eastAsia="宋体" w:cs="Times New Roman"/>
                <w:kern w:val="0"/>
                <w:sz w:val="21"/>
                <w:szCs w:val="21"/>
                <w:lang w:val="en-US" w:eastAsia="zh-CN" w:bidi="ar-SA"/>
              </w:rPr>
            </w:pPr>
            <w:r>
              <w:rPr>
                <w:rFonts w:hint="eastAsia" w:ascii="宋体" w:eastAsia="宋体" w:cs="Times New Roman"/>
                <w:kern w:val="0"/>
                <w:sz w:val="21"/>
                <w:szCs w:val="21"/>
                <w:lang w:val="en-US" w:eastAsia="zh-CN" w:bidi="ar-SA"/>
              </w:rPr>
              <w:t>10</w:t>
            </w:r>
          </w:p>
        </w:tc>
        <w:tc>
          <w:tcPr>
            <w:tcW w:w="4925" w:type="dxa"/>
            <w:tcBorders>
              <w:top w:val="nil"/>
              <w:left w:val="nil"/>
              <w:bottom w:val="single" w:color="000000" w:sz="8" w:space="0"/>
              <w:right w:val="single" w:color="000000" w:sz="8" w:space="0"/>
            </w:tcBorders>
            <w:noWrap w:val="0"/>
            <w:vAlign w:val="center"/>
          </w:tcPr>
          <w:p>
            <w:pPr>
              <w:widowControl/>
              <w:spacing w:line="240" w:lineRule="auto"/>
              <w:ind w:firstLine="0"/>
              <w:jc w:val="left"/>
              <w:rPr>
                <w:rFonts w:hint="eastAsia" w:ascii="Calibri" w:hAnsi="Calibri" w:eastAsia="宋体" w:cs="Times New Roman"/>
                <w:sz w:val="21"/>
                <w:lang w:bidi="ar-SA"/>
              </w:rPr>
            </w:pPr>
            <w:r>
              <w:rPr>
                <w:rFonts w:hint="eastAsia" w:ascii="宋体" w:eastAsia="宋体" w:cs="Times New Roman"/>
                <w:kern w:val="0"/>
                <w:sz w:val="21"/>
                <w:szCs w:val="24"/>
                <w:lang w:bidi="ar-SA"/>
              </w:rPr>
              <w:t>为保证服务质量，供应商在项目本地需有服务团队和服务机构网点</w:t>
            </w:r>
            <w:r>
              <w:rPr>
                <w:rFonts w:hint="eastAsia" w:ascii="宋体" w:eastAsia="宋体" w:cs="Times New Roman"/>
                <w:kern w:val="0"/>
                <w:sz w:val="21"/>
                <w:szCs w:val="24"/>
                <w:lang w:eastAsia="zh-CN" w:bidi="ar-SA"/>
              </w:rPr>
              <w:t>，</w:t>
            </w:r>
            <w:r>
              <w:rPr>
                <w:rFonts w:hint="eastAsia" w:ascii="宋体" w:eastAsia="宋体" w:cs="Times New Roman"/>
                <w:kern w:val="0"/>
                <w:sz w:val="21"/>
                <w:szCs w:val="24"/>
                <w:lang w:val="en-US" w:eastAsia="zh-CN" w:bidi="ar-SA"/>
              </w:rPr>
              <w:t>在四川至少具备5人以上本地实施团队，</w:t>
            </w:r>
            <w:r>
              <w:rPr>
                <w:rFonts w:hint="eastAsia" w:ascii="宋体" w:eastAsia="宋体" w:cs="Times New Roman"/>
                <w:kern w:val="0"/>
                <w:sz w:val="21"/>
                <w:szCs w:val="24"/>
                <w:lang w:bidi="ar-SA"/>
              </w:rPr>
              <w:t>明确组织结构</w:t>
            </w:r>
            <w:r>
              <w:rPr>
                <w:rFonts w:hint="eastAsia" w:ascii="宋体" w:eastAsia="宋体" w:cs="Times New Roman"/>
                <w:kern w:val="0"/>
                <w:sz w:val="21"/>
                <w:szCs w:val="24"/>
                <w:lang w:eastAsia="zh-CN" w:bidi="ar-SA"/>
              </w:rPr>
              <w:t>：</w:t>
            </w:r>
            <w:r>
              <w:rPr>
                <w:rFonts w:hint="eastAsia" w:ascii="宋体" w:eastAsia="宋体" w:cs="Times New Roman"/>
                <w:kern w:val="0"/>
                <w:sz w:val="21"/>
                <w:szCs w:val="24"/>
                <w:lang w:bidi="ar-SA"/>
              </w:rPr>
              <w:t>项目经理1名，要求具备人社部、工信部颁发的计算机技术与软件专业技术资格高级证书或PMP项目管理专业人员资格认证；项目实施人员</w:t>
            </w:r>
            <w:r>
              <w:rPr>
                <w:rFonts w:hint="eastAsia" w:ascii="宋体" w:eastAsia="宋体" w:cs="Times New Roman"/>
                <w:kern w:val="0"/>
                <w:sz w:val="21"/>
                <w:szCs w:val="24"/>
                <w:lang w:val="en-US" w:eastAsia="zh-CN" w:bidi="ar-SA"/>
              </w:rPr>
              <w:t>4</w:t>
            </w:r>
            <w:r>
              <w:rPr>
                <w:rFonts w:hint="eastAsia" w:ascii="宋体" w:eastAsia="宋体" w:cs="Times New Roman"/>
                <w:kern w:val="0"/>
                <w:sz w:val="21"/>
                <w:szCs w:val="24"/>
                <w:lang w:bidi="ar-SA"/>
              </w:rPr>
              <w:t>名，要求具备中国网络安全审查技术与认证中心或其他国家认可机构颁发的《信息安全保障人员认证证书》，认证方向为数字证书服务</w:t>
            </w:r>
            <w:r>
              <w:rPr>
                <w:rFonts w:hint="eastAsia" w:ascii="宋体" w:eastAsia="宋体" w:cs="Times New Roman"/>
                <w:kern w:val="0"/>
                <w:sz w:val="21"/>
                <w:szCs w:val="24"/>
                <w:lang w:eastAsia="zh-CN" w:bidi="ar-SA"/>
              </w:rPr>
              <w:t>，</w:t>
            </w:r>
            <w:r>
              <w:rPr>
                <w:rFonts w:hint="eastAsia" w:ascii="宋体" w:eastAsia="宋体" w:cs="Times New Roman"/>
                <w:kern w:val="0"/>
                <w:sz w:val="21"/>
                <w:szCs w:val="24"/>
                <w:lang w:val="en-US" w:eastAsia="zh-CN" w:bidi="ar-SA"/>
              </w:rPr>
              <w:t>得10分；</w:t>
            </w:r>
            <w:r>
              <w:rPr>
                <w:rFonts w:hint="eastAsia" w:ascii="宋体" w:eastAsia="宋体" w:cs="Times New Roman"/>
                <w:kern w:val="0"/>
                <w:sz w:val="21"/>
                <w:szCs w:val="24"/>
                <w:lang w:bidi="ar-SA"/>
              </w:rPr>
              <w:t>在项目本地有服务团队和服务机构网点，但供应商为本项目提供的服务团队不足</w:t>
            </w:r>
            <w:r>
              <w:rPr>
                <w:rFonts w:hint="eastAsia" w:ascii="宋体" w:eastAsia="宋体" w:cs="Times New Roman"/>
                <w:kern w:val="0"/>
                <w:sz w:val="21"/>
                <w:szCs w:val="24"/>
                <w:lang w:val="en-US" w:eastAsia="zh-CN" w:bidi="ar-SA"/>
              </w:rPr>
              <w:t>5</w:t>
            </w:r>
            <w:r>
              <w:rPr>
                <w:rFonts w:hint="eastAsia" w:ascii="宋体" w:eastAsia="宋体" w:cs="Times New Roman"/>
                <w:kern w:val="0"/>
                <w:sz w:val="21"/>
                <w:szCs w:val="24"/>
                <w:lang w:bidi="ar-SA"/>
              </w:rPr>
              <w:t>人的，得</w:t>
            </w:r>
            <w:r>
              <w:rPr>
                <w:rFonts w:hint="eastAsia" w:ascii="宋体" w:eastAsia="宋体" w:cs="Times New Roman"/>
                <w:kern w:val="0"/>
                <w:sz w:val="21"/>
                <w:szCs w:val="24"/>
                <w:lang w:val="en-US" w:eastAsia="zh-CN" w:bidi="ar-SA"/>
              </w:rPr>
              <w:t>4</w:t>
            </w:r>
            <w:r>
              <w:rPr>
                <w:rFonts w:hint="eastAsia" w:ascii="宋体" w:eastAsia="宋体" w:cs="Times New Roman"/>
                <w:kern w:val="0"/>
                <w:sz w:val="21"/>
                <w:szCs w:val="24"/>
                <w:lang w:bidi="ar-SA"/>
              </w:rPr>
              <w:t>分，其余情况不得分。</w:t>
            </w:r>
          </w:p>
        </w:tc>
        <w:tc>
          <w:tcPr>
            <w:tcW w:w="2171"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Times New Roman"/>
                <w:kern w:val="0"/>
                <w:sz w:val="21"/>
                <w:szCs w:val="24"/>
                <w:lang w:bidi="ar-SA"/>
              </w:rPr>
              <w:t>提供具有本地服务机构网点官网截图证明、</w:t>
            </w:r>
            <w:r>
              <w:rPr>
                <w:rFonts w:hint="eastAsia" w:ascii="宋体" w:eastAsia="宋体" w:cs="Times New Roman"/>
                <w:kern w:val="0"/>
                <w:sz w:val="21"/>
                <w:szCs w:val="24"/>
                <w:lang w:val="en-US" w:eastAsia="zh-CN" w:bidi="ar-SA"/>
              </w:rPr>
              <w:t>人员清单、资格证书证明材料、</w:t>
            </w:r>
            <w:r>
              <w:rPr>
                <w:rFonts w:hint="eastAsia" w:ascii="宋体" w:eastAsia="宋体" w:cs="Times New Roman"/>
                <w:kern w:val="0"/>
                <w:sz w:val="21"/>
                <w:szCs w:val="24"/>
                <w:lang w:bidi="ar-SA"/>
              </w:rPr>
              <w:t>及近3月在项目城市社保证明</w:t>
            </w:r>
          </w:p>
        </w:tc>
      </w:tr>
      <w:tr>
        <w:tblPrEx>
          <w:tblCellMar>
            <w:top w:w="0" w:type="dxa"/>
            <w:left w:w="108" w:type="dxa"/>
            <w:bottom w:w="0" w:type="dxa"/>
            <w:right w:w="108" w:type="dxa"/>
          </w:tblCellMar>
        </w:tblPrEx>
        <w:trPr>
          <w:trHeight w:val="3957" w:hRule="atLeast"/>
        </w:trPr>
        <w:tc>
          <w:tcPr>
            <w:tcW w:w="487" w:type="dxa"/>
            <w:tcBorders>
              <w:top w:val="nil"/>
              <w:left w:val="single" w:color="000000" w:sz="8" w:space="0"/>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5</w:t>
            </w:r>
          </w:p>
        </w:tc>
        <w:tc>
          <w:tcPr>
            <w:tcW w:w="1028" w:type="dxa"/>
            <w:tcBorders>
              <w:top w:val="nil"/>
              <w:left w:val="nil"/>
              <w:bottom w:val="single" w:color="000000" w:sz="8" w:space="0"/>
              <w:right w:val="single" w:color="000000" w:sz="8" w:space="0"/>
            </w:tcBorders>
            <w:noWrap w:val="0"/>
            <w:vAlign w:val="center"/>
          </w:tcPr>
          <w:p>
            <w:pPr>
              <w:widowControl/>
              <w:spacing w:line="240" w:lineRule="auto"/>
              <w:ind w:firstLine="0"/>
              <w:jc w:val="center"/>
              <w:rPr>
                <w:rFonts w:hint="eastAsia" w:ascii="宋体" w:eastAsia="宋体" w:cs="Times New Roman"/>
                <w:kern w:val="0"/>
                <w:sz w:val="21"/>
                <w:szCs w:val="24"/>
                <w:lang w:bidi="ar-SA"/>
              </w:rPr>
            </w:pPr>
            <w:r>
              <w:rPr>
                <w:rFonts w:hint="eastAsia" w:ascii="宋体" w:eastAsia="宋体" w:cs="Times New Roman"/>
                <w:kern w:val="0"/>
                <w:sz w:val="21"/>
                <w:szCs w:val="24"/>
                <w:lang w:bidi="ar-SA"/>
              </w:rPr>
              <w:t>技术参数及要求</w:t>
            </w:r>
          </w:p>
        </w:tc>
        <w:tc>
          <w:tcPr>
            <w:tcW w:w="998" w:type="dxa"/>
            <w:tcBorders>
              <w:top w:val="nil"/>
              <w:left w:val="nil"/>
              <w:bottom w:val="single" w:color="000000" w:sz="8" w:space="0"/>
              <w:right w:val="single" w:color="000000" w:sz="8" w:space="0"/>
            </w:tcBorders>
            <w:noWrap w:val="0"/>
            <w:vAlign w:val="center"/>
          </w:tcPr>
          <w:p>
            <w:pPr>
              <w:widowControl/>
              <w:spacing w:line="360" w:lineRule="exact"/>
              <w:ind w:firstLine="0"/>
              <w:jc w:val="center"/>
              <w:rPr>
                <w:rFonts w:hint="eastAsia" w:ascii="宋体" w:eastAsia="宋体" w:cs="Times New Roman"/>
                <w:kern w:val="0"/>
                <w:sz w:val="24"/>
                <w:szCs w:val="24"/>
                <w:lang w:bidi="ar-SA"/>
              </w:rPr>
            </w:pPr>
            <w:r>
              <w:rPr>
                <w:rFonts w:hint="eastAsia" w:ascii="宋体" w:eastAsia="宋体" w:cs="Times New Roman"/>
                <w:kern w:val="0"/>
                <w:sz w:val="21"/>
                <w:szCs w:val="21"/>
                <w:lang w:val="en-US" w:eastAsia="zh-CN" w:bidi="ar-SA"/>
              </w:rPr>
              <w:t>24</w:t>
            </w:r>
          </w:p>
        </w:tc>
        <w:tc>
          <w:tcPr>
            <w:tcW w:w="4925" w:type="dxa"/>
            <w:tcBorders>
              <w:top w:val="nil"/>
              <w:left w:val="nil"/>
              <w:bottom w:val="single" w:color="000000" w:sz="8" w:space="0"/>
              <w:right w:val="single" w:color="000000" w:sz="8" w:space="0"/>
            </w:tcBorders>
            <w:noWrap w:val="0"/>
            <w:vAlign w:val="center"/>
          </w:tcPr>
          <w:p>
            <w:pPr>
              <w:widowControl/>
              <w:spacing w:line="240" w:lineRule="auto"/>
              <w:ind w:firstLine="0"/>
              <w:jc w:val="left"/>
              <w:rPr>
                <w:rFonts w:ascii="Calibri" w:hAnsi="Calibri" w:eastAsia="宋体" w:cs="Times New Roman"/>
                <w:sz w:val="21"/>
                <w:lang w:bidi="ar-SA"/>
              </w:rPr>
            </w:pPr>
            <w:r>
              <w:rPr>
                <w:rFonts w:ascii="Calibri" w:hAnsi="Calibri" w:eastAsia="宋体" w:cs="Times New Roman"/>
                <w:sz w:val="21"/>
                <w:lang w:bidi="ar-SA"/>
              </w:rPr>
              <w:t>1.</w:t>
            </w:r>
            <w:r>
              <w:rPr>
                <w:rFonts w:hint="eastAsia" w:ascii="Calibri" w:hAnsi="Calibri" w:eastAsia="宋体" w:cs="Times New Roman"/>
                <w:sz w:val="21"/>
                <w:lang w:bidi="ar-SA"/>
              </w:rPr>
              <w:t>供应商报价产品的技术参数完全满足采购文件技术参数及要求中加</w:t>
            </w:r>
            <w:r>
              <w:rPr>
                <w:rFonts w:ascii="Calibri" w:hAnsi="Calibri" w:eastAsia="宋体" w:cs="Times New Roman"/>
                <w:sz w:val="21"/>
                <w:lang w:bidi="ar-SA"/>
              </w:rPr>
              <w:t>▲</w:t>
            </w:r>
            <w:r>
              <w:rPr>
                <w:rFonts w:hint="eastAsia" w:ascii="Calibri" w:hAnsi="Calibri" w:eastAsia="宋体" w:cs="Times New Roman"/>
                <w:sz w:val="21"/>
                <w:lang w:bidi="ar-SA"/>
              </w:rPr>
              <w:t>号的技术参数及要求的得1</w:t>
            </w:r>
            <w:r>
              <w:rPr>
                <w:rFonts w:hint="eastAsia" w:ascii="Calibri" w:hAnsi="Calibri" w:eastAsia="宋体" w:cs="Times New Roman"/>
                <w:sz w:val="21"/>
                <w:lang w:val="en-US" w:eastAsia="zh-CN" w:bidi="ar-SA"/>
              </w:rPr>
              <w:t>4</w:t>
            </w:r>
            <w:r>
              <w:rPr>
                <w:rFonts w:hint="eastAsia" w:ascii="Calibri" w:hAnsi="Calibri" w:eastAsia="宋体" w:cs="Times New Roman"/>
                <w:sz w:val="21"/>
                <w:lang w:bidi="ar-SA"/>
              </w:rPr>
              <w:t>分；供应商报价产品的技术参数不满足采购文件技术参数及要求中加</w:t>
            </w:r>
            <w:r>
              <w:rPr>
                <w:rFonts w:ascii="Calibri" w:hAnsi="Calibri" w:eastAsia="宋体" w:cs="Times New Roman"/>
                <w:sz w:val="21"/>
                <w:lang w:bidi="ar-SA"/>
              </w:rPr>
              <w:t>▲</w:t>
            </w:r>
            <w:r>
              <w:rPr>
                <w:rFonts w:hint="eastAsia" w:ascii="Calibri" w:hAnsi="Calibri" w:eastAsia="宋体" w:cs="Times New Roman"/>
                <w:sz w:val="21"/>
                <w:lang w:bidi="ar-SA"/>
              </w:rPr>
              <w:t>号的技术参数及要求的，则在</w:t>
            </w:r>
            <w:r>
              <w:rPr>
                <w:rFonts w:hint="eastAsia" w:ascii="Calibri" w:hAnsi="Calibri" w:eastAsia="宋体" w:cs="Times New Roman"/>
                <w:sz w:val="21"/>
                <w:lang w:val="en-US" w:eastAsia="zh-CN" w:bidi="ar-SA"/>
              </w:rPr>
              <w:t>14</w:t>
            </w:r>
            <w:r>
              <w:rPr>
                <w:rFonts w:hint="eastAsia" w:ascii="Calibri" w:hAnsi="Calibri" w:eastAsia="宋体" w:cs="Times New Roman"/>
                <w:sz w:val="21"/>
                <w:lang w:bidi="ar-SA"/>
              </w:rPr>
              <w:t>分的基础上，按以下原则扣分，扣完为止：</w:t>
            </w:r>
            <w:r>
              <w:rPr>
                <w:rFonts w:ascii="Calibri" w:hAnsi="Calibri" w:eastAsia="宋体" w:cs="Times New Roman"/>
                <w:sz w:val="21"/>
                <w:lang w:bidi="ar-SA"/>
              </w:rPr>
              <w:t>每有一项不满足加▲号的技术参数及要求的，扣</w:t>
            </w:r>
            <w:r>
              <w:rPr>
                <w:rFonts w:hint="eastAsia" w:ascii="Calibri" w:hAnsi="Calibri" w:eastAsia="宋体" w:cs="Times New Roman"/>
                <w:sz w:val="21"/>
                <w:lang w:val="en-US" w:eastAsia="zh-CN" w:bidi="ar-SA"/>
              </w:rPr>
              <w:t>7</w:t>
            </w:r>
            <w:r>
              <w:rPr>
                <w:rFonts w:ascii="Calibri" w:hAnsi="Calibri" w:eastAsia="宋体" w:cs="Times New Roman"/>
                <w:sz w:val="21"/>
                <w:lang w:bidi="ar-SA"/>
              </w:rPr>
              <w:t>分</w:t>
            </w:r>
            <w:r>
              <w:rPr>
                <w:rFonts w:hint="eastAsia" w:ascii="Calibri" w:hAnsi="Calibri" w:eastAsia="宋体" w:cs="Times New Roman"/>
                <w:sz w:val="21"/>
                <w:lang w:bidi="ar-SA"/>
              </w:rPr>
              <w:t>。</w:t>
            </w:r>
          </w:p>
          <w:p>
            <w:pPr>
              <w:widowControl/>
              <w:spacing w:line="240" w:lineRule="auto"/>
              <w:ind w:firstLine="0"/>
              <w:jc w:val="left"/>
              <w:rPr>
                <w:rFonts w:ascii="Calibri" w:hAnsi="Calibri" w:eastAsia="宋体" w:cs="Times New Roman"/>
                <w:sz w:val="21"/>
                <w:lang w:bidi="ar-SA"/>
              </w:rPr>
            </w:pPr>
            <w:r>
              <w:rPr>
                <w:rFonts w:hint="eastAsia" w:ascii="Calibri" w:hAnsi="Calibri" w:eastAsia="宋体" w:cs="Times New Roman"/>
                <w:sz w:val="21"/>
                <w:lang w:bidi="ar-SA"/>
              </w:rPr>
              <w:t>（说明：以阿拉伯数字标注为一项。）</w:t>
            </w:r>
          </w:p>
          <w:p>
            <w:pPr>
              <w:widowControl/>
              <w:spacing w:line="240" w:lineRule="auto"/>
              <w:ind w:firstLine="0"/>
              <w:jc w:val="left"/>
              <w:rPr>
                <w:rFonts w:ascii="Calibri" w:hAnsi="Calibri" w:eastAsia="宋体" w:cs="Times New Roman"/>
                <w:sz w:val="21"/>
                <w:lang w:bidi="ar-SA"/>
              </w:rPr>
            </w:pPr>
            <w:r>
              <w:rPr>
                <w:rFonts w:ascii="Calibri" w:hAnsi="Calibri" w:eastAsia="宋体" w:cs="Times New Roman"/>
                <w:sz w:val="21"/>
                <w:lang w:bidi="ar-SA"/>
              </w:rPr>
              <w:t>2.</w:t>
            </w:r>
            <w:r>
              <w:rPr>
                <w:rFonts w:hint="eastAsia" w:ascii="Calibri" w:hAnsi="Calibri" w:eastAsia="宋体" w:cs="Times New Roman"/>
                <w:sz w:val="21"/>
                <w:lang w:bidi="ar-SA"/>
              </w:rPr>
              <w:t>供应商报价产品的技术参数完全满足采购文件技术参数及要求中未加</w:t>
            </w:r>
            <w:r>
              <w:rPr>
                <w:rFonts w:ascii="Calibri" w:hAnsi="Calibri" w:eastAsia="宋体" w:cs="Times New Roman"/>
                <w:sz w:val="21"/>
                <w:lang w:bidi="ar-SA"/>
              </w:rPr>
              <w:t>▲</w:t>
            </w:r>
            <w:r>
              <w:rPr>
                <w:rFonts w:hint="eastAsia" w:ascii="Calibri" w:hAnsi="Calibri" w:eastAsia="宋体" w:cs="Times New Roman"/>
                <w:sz w:val="21"/>
                <w:lang w:bidi="ar-SA"/>
              </w:rPr>
              <w:t>的技术参数及要求的，得</w:t>
            </w:r>
            <w:r>
              <w:rPr>
                <w:rFonts w:hint="eastAsia" w:ascii="Calibri" w:hAnsi="Calibri" w:eastAsia="宋体" w:cs="Times New Roman"/>
                <w:sz w:val="21"/>
                <w:lang w:val="en-US" w:eastAsia="zh-CN" w:bidi="ar-SA"/>
              </w:rPr>
              <w:t>10</w:t>
            </w:r>
            <w:r>
              <w:rPr>
                <w:rFonts w:hint="eastAsia" w:ascii="Calibri" w:hAnsi="Calibri" w:eastAsia="宋体" w:cs="Times New Roman"/>
                <w:sz w:val="21"/>
                <w:lang w:bidi="ar-SA"/>
              </w:rPr>
              <w:t>分；供应商报价产品的技术参数不满足采购文件技术参数及要求中未加</w:t>
            </w:r>
            <w:r>
              <w:rPr>
                <w:rFonts w:ascii="Calibri" w:hAnsi="Calibri" w:eastAsia="宋体" w:cs="Times New Roman"/>
                <w:sz w:val="21"/>
                <w:lang w:bidi="ar-SA"/>
              </w:rPr>
              <w:t>▲</w:t>
            </w:r>
            <w:r>
              <w:rPr>
                <w:rFonts w:hint="eastAsia" w:ascii="Calibri" w:hAnsi="Calibri" w:eastAsia="宋体" w:cs="Times New Roman"/>
                <w:sz w:val="21"/>
                <w:lang w:bidi="ar-SA"/>
              </w:rPr>
              <w:t>的技术参数及要求的</w:t>
            </w:r>
            <w:r>
              <w:rPr>
                <w:rFonts w:ascii="Calibri" w:hAnsi="Calibri" w:eastAsia="宋体" w:cs="Times New Roman"/>
                <w:sz w:val="21"/>
                <w:lang w:bidi="ar-SA"/>
              </w:rPr>
              <w:t>,</w:t>
            </w:r>
            <w:r>
              <w:rPr>
                <w:rFonts w:hint="eastAsia" w:ascii="Calibri" w:hAnsi="Calibri" w:eastAsia="宋体" w:cs="Times New Roman"/>
                <w:sz w:val="21"/>
                <w:lang w:bidi="ar-SA"/>
              </w:rPr>
              <w:t>则在</w:t>
            </w:r>
            <w:r>
              <w:rPr>
                <w:rFonts w:hint="eastAsia" w:ascii="Calibri" w:hAnsi="Calibri" w:eastAsia="宋体" w:cs="Times New Roman"/>
                <w:sz w:val="21"/>
                <w:lang w:val="en-US" w:eastAsia="zh-CN" w:bidi="ar-SA"/>
              </w:rPr>
              <w:t>10</w:t>
            </w:r>
            <w:r>
              <w:rPr>
                <w:rFonts w:hint="eastAsia" w:ascii="Calibri" w:hAnsi="Calibri" w:eastAsia="宋体" w:cs="Times New Roman"/>
                <w:sz w:val="21"/>
                <w:lang w:bidi="ar-SA"/>
              </w:rPr>
              <w:t>分的基础上，按以下原则扣分：</w:t>
            </w:r>
            <w:r>
              <w:rPr>
                <w:rFonts w:ascii="Calibri" w:hAnsi="Calibri" w:eastAsia="宋体" w:cs="Times New Roman"/>
                <w:sz w:val="21"/>
                <w:lang w:bidi="ar-SA"/>
              </w:rPr>
              <w:t>每有一项不满足未加▲的技术参数及要求的扣</w:t>
            </w:r>
            <w:r>
              <w:rPr>
                <w:rFonts w:hint="eastAsia" w:ascii="Calibri" w:hAnsi="Calibri" w:eastAsia="宋体" w:cs="Times New Roman"/>
                <w:sz w:val="21"/>
                <w:lang w:val="en-US" w:eastAsia="zh-CN" w:bidi="ar-SA"/>
              </w:rPr>
              <w:t>0.5</w:t>
            </w:r>
            <w:r>
              <w:rPr>
                <w:rFonts w:ascii="Calibri" w:hAnsi="Calibri" w:eastAsia="宋体" w:cs="Times New Roman"/>
                <w:sz w:val="21"/>
                <w:lang w:bidi="ar-SA"/>
              </w:rPr>
              <w:t>分</w:t>
            </w:r>
            <w:r>
              <w:rPr>
                <w:rFonts w:hint="eastAsia" w:ascii="Calibri" w:hAnsi="Calibri" w:eastAsia="宋体" w:cs="Times New Roman"/>
                <w:sz w:val="21"/>
                <w:lang w:bidi="ar-SA"/>
              </w:rPr>
              <w:t>。</w:t>
            </w:r>
          </w:p>
        </w:tc>
        <w:tc>
          <w:tcPr>
            <w:tcW w:w="2171" w:type="dxa"/>
            <w:tcBorders>
              <w:top w:val="nil"/>
              <w:left w:val="nil"/>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Calibri" w:hAnsi="Calibri" w:eastAsia="宋体" w:cs="Times New Roman"/>
                <w:sz w:val="21"/>
                <w:lang w:bidi="ar-SA"/>
              </w:rPr>
              <w:t>以阿拉伯数字标注为一项</w:t>
            </w:r>
          </w:p>
        </w:tc>
      </w:tr>
      <w:tr>
        <w:tblPrEx>
          <w:tblCellMar>
            <w:top w:w="0" w:type="dxa"/>
            <w:left w:w="108" w:type="dxa"/>
            <w:bottom w:w="0" w:type="dxa"/>
            <w:right w:w="108" w:type="dxa"/>
          </w:tblCellMar>
        </w:tblPrEx>
        <w:trPr>
          <w:trHeight w:val="860" w:hRule="atLeast"/>
        </w:trPr>
        <w:tc>
          <w:tcPr>
            <w:tcW w:w="487" w:type="dxa"/>
            <w:tcBorders>
              <w:top w:val="nil"/>
              <w:left w:val="single" w:color="000000" w:sz="8" w:space="0"/>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6</w:t>
            </w:r>
          </w:p>
        </w:tc>
        <w:tc>
          <w:tcPr>
            <w:tcW w:w="1028" w:type="dxa"/>
            <w:tcBorders>
              <w:top w:val="nil"/>
              <w:left w:val="nil"/>
              <w:bottom w:val="single" w:color="000000" w:sz="8" w:space="0"/>
              <w:right w:val="single" w:color="000000" w:sz="8" w:space="0"/>
            </w:tcBorders>
            <w:noWrap w:val="0"/>
            <w:vAlign w:val="center"/>
          </w:tcPr>
          <w:p>
            <w:pPr>
              <w:widowControl/>
              <w:spacing w:line="240" w:lineRule="auto"/>
              <w:ind w:firstLine="0"/>
              <w:jc w:val="center"/>
              <w:rPr>
                <w:rFonts w:hint="eastAsia" w:ascii="宋体" w:eastAsia="宋体" w:cs="Times New Roman"/>
                <w:kern w:val="0"/>
                <w:sz w:val="21"/>
                <w:szCs w:val="24"/>
                <w:lang w:bidi="ar-SA"/>
              </w:rPr>
            </w:pPr>
            <w:r>
              <w:rPr>
                <w:rFonts w:hint="eastAsia" w:ascii="宋体" w:eastAsia="宋体" w:cs="Times New Roman"/>
                <w:kern w:val="0"/>
                <w:sz w:val="21"/>
                <w:szCs w:val="24"/>
                <w:lang w:bidi="ar-SA"/>
              </w:rPr>
              <w:t>售后服务方案</w:t>
            </w:r>
          </w:p>
        </w:tc>
        <w:tc>
          <w:tcPr>
            <w:tcW w:w="998" w:type="dxa"/>
            <w:tcBorders>
              <w:top w:val="nil"/>
              <w:left w:val="nil"/>
              <w:bottom w:val="single" w:color="000000" w:sz="8" w:space="0"/>
              <w:right w:val="single" w:color="000000" w:sz="8" w:space="0"/>
            </w:tcBorders>
            <w:noWrap w:val="0"/>
            <w:vAlign w:val="center"/>
          </w:tcPr>
          <w:p>
            <w:pPr>
              <w:widowControl/>
              <w:spacing w:line="360" w:lineRule="exact"/>
              <w:ind w:firstLine="0"/>
              <w:jc w:val="center"/>
              <w:rPr>
                <w:rFonts w:hint="eastAsia" w:ascii="宋体" w:eastAsia="宋体" w:cs="Times New Roman"/>
                <w:kern w:val="0"/>
                <w:sz w:val="24"/>
                <w:szCs w:val="24"/>
                <w:lang w:bidi="ar-SA"/>
              </w:rPr>
            </w:pPr>
            <w:r>
              <w:rPr>
                <w:rFonts w:hint="eastAsia" w:ascii="宋体" w:eastAsia="宋体" w:cs="Times New Roman"/>
                <w:kern w:val="0"/>
                <w:sz w:val="21"/>
                <w:szCs w:val="21"/>
                <w:lang w:bidi="ar-SA"/>
              </w:rPr>
              <w:t>6</w:t>
            </w:r>
          </w:p>
        </w:tc>
        <w:tc>
          <w:tcPr>
            <w:tcW w:w="4925" w:type="dxa"/>
            <w:tcBorders>
              <w:top w:val="nil"/>
              <w:left w:val="nil"/>
              <w:bottom w:val="single" w:color="000000" w:sz="8" w:space="0"/>
              <w:right w:val="single" w:color="000000" w:sz="8" w:space="0"/>
            </w:tcBorders>
            <w:noWrap w:val="0"/>
            <w:vAlign w:val="top"/>
          </w:tcPr>
          <w:p>
            <w:pPr>
              <w:spacing w:line="240" w:lineRule="auto"/>
              <w:ind w:firstLine="0"/>
              <w:rPr>
                <w:rFonts w:ascii="Calibri" w:hAnsi="Calibri" w:eastAsia="宋体" w:cs="Times New Roman"/>
                <w:sz w:val="21"/>
                <w:lang w:bidi="ar-SA"/>
              </w:rPr>
            </w:pPr>
            <w:r>
              <w:rPr>
                <w:rFonts w:hint="eastAsia" w:ascii="Calibri" w:hAnsi="Calibri" w:eastAsia="宋体" w:cs="Times New Roman"/>
                <w:sz w:val="21"/>
                <w:lang w:bidi="ar-SA"/>
              </w:rPr>
              <w:t>供应商售后服务方案包含培训方案、服务措施、应急措施、故障响应的内容的得6分，每缺少</w:t>
            </w:r>
            <w:r>
              <w:rPr>
                <w:rFonts w:ascii="Calibri" w:hAnsi="Calibri" w:eastAsia="宋体" w:cs="Times New Roman"/>
                <w:sz w:val="21"/>
                <w:lang w:bidi="ar-SA"/>
              </w:rPr>
              <w:t>一项内容</w:t>
            </w:r>
            <w:r>
              <w:rPr>
                <w:rFonts w:hint="eastAsia" w:ascii="Calibri" w:hAnsi="Calibri" w:eastAsia="宋体" w:cs="Times New Roman"/>
                <w:sz w:val="21"/>
                <w:lang w:bidi="ar-SA"/>
              </w:rPr>
              <w:t>扣1.5分，每有一处表述不清或前后矛盾或逻辑冲突或不利于本项目实施的扣1分，扣完为止。</w:t>
            </w:r>
          </w:p>
        </w:tc>
        <w:tc>
          <w:tcPr>
            <w:tcW w:w="2171" w:type="dxa"/>
            <w:tcBorders>
              <w:top w:val="nil"/>
              <w:left w:val="nil"/>
              <w:bottom w:val="single" w:color="000000" w:sz="8" w:space="0"/>
              <w:right w:val="single" w:color="000000" w:sz="8" w:space="0"/>
            </w:tcBorders>
            <w:noWrap/>
            <w:vAlign w:val="center"/>
          </w:tcPr>
          <w:p>
            <w:pPr>
              <w:jc w:val="center"/>
              <w:textAlignment w:val="center"/>
              <w:rPr>
                <w:rFonts w:hint="eastAsia" w:ascii="宋体" w:eastAsia="宋体" w:cs="宋体"/>
                <w:color w:val="000000"/>
                <w:sz w:val="24"/>
                <w:szCs w:val="24"/>
                <w:lang w:bidi="ar-SA"/>
              </w:rPr>
            </w:pPr>
          </w:p>
        </w:tc>
      </w:tr>
      <w:tr>
        <w:tblPrEx>
          <w:tblCellMar>
            <w:top w:w="0" w:type="dxa"/>
            <w:left w:w="108" w:type="dxa"/>
            <w:bottom w:w="0" w:type="dxa"/>
            <w:right w:w="108" w:type="dxa"/>
          </w:tblCellMar>
        </w:tblPrEx>
        <w:trPr>
          <w:trHeight w:val="860" w:hRule="atLeast"/>
        </w:trPr>
        <w:tc>
          <w:tcPr>
            <w:tcW w:w="487" w:type="dxa"/>
            <w:tcBorders>
              <w:top w:val="nil"/>
              <w:left w:val="single" w:color="000000" w:sz="8" w:space="0"/>
              <w:bottom w:val="single" w:color="000000" w:sz="8" w:space="0"/>
              <w:right w:val="single" w:color="000000" w:sz="8" w:space="0"/>
            </w:tcBorders>
            <w:noWrap w:val="0"/>
            <w:vAlign w:val="center"/>
          </w:tcPr>
          <w:p>
            <w:pPr>
              <w:jc w:val="center"/>
              <w:textAlignment w:val="center"/>
              <w:rPr>
                <w:rFonts w:hint="eastAsia" w:ascii="宋体" w:eastAsia="宋体" w:cs="宋体"/>
                <w:color w:val="000000"/>
                <w:sz w:val="24"/>
                <w:szCs w:val="24"/>
                <w:lang w:bidi="ar-SA"/>
              </w:rPr>
            </w:pPr>
            <w:r>
              <w:rPr>
                <w:rFonts w:hint="eastAsia" w:ascii="宋体" w:eastAsia="宋体" w:cs="宋体"/>
                <w:color w:val="000000"/>
                <w:sz w:val="24"/>
                <w:szCs w:val="24"/>
                <w:lang w:bidi="ar-SA"/>
              </w:rPr>
              <w:t>7</w:t>
            </w:r>
          </w:p>
        </w:tc>
        <w:tc>
          <w:tcPr>
            <w:tcW w:w="1028" w:type="dxa"/>
            <w:tcBorders>
              <w:top w:val="nil"/>
              <w:left w:val="nil"/>
              <w:bottom w:val="single" w:color="000000" w:sz="8" w:space="0"/>
              <w:right w:val="single" w:color="000000" w:sz="8" w:space="0"/>
            </w:tcBorders>
            <w:noWrap w:val="0"/>
            <w:vAlign w:val="center"/>
          </w:tcPr>
          <w:p>
            <w:pPr>
              <w:widowControl/>
              <w:spacing w:line="240" w:lineRule="auto"/>
              <w:ind w:firstLine="0"/>
              <w:jc w:val="center"/>
              <w:rPr>
                <w:rFonts w:hint="eastAsia" w:ascii="宋体" w:eastAsia="宋体" w:cs="Times New Roman"/>
                <w:kern w:val="0"/>
                <w:sz w:val="21"/>
                <w:szCs w:val="24"/>
                <w:lang w:bidi="ar-SA"/>
              </w:rPr>
            </w:pPr>
            <w:r>
              <w:rPr>
                <w:rFonts w:hint="eastAsia" w:ascii="宋体" w:eastAsia="宋体" w:cs="Times New Roman"/>
                <w:kern w:val="0"/>
                <w:sz w:val="21"/>
                <w:szCs w:val="24"/>
                <w:lang w:bidi="ar-SA"/>
              </w:rPr>
              <w:t>项目实施方案</w:t>
            </w:r>
          </w:p>
        </w:tc>
        <w:tc>
          <w:tcPr>
            <w:tcW w:w="998" w:type="dxa"/>
            <w:tcBorders>
              <w:top w:val="nil"/>
              <w:left w:val="nil"/>
              <w:bottom w:val="single" w:color="000000" w:sz="8" w:space="0"/>
              <w:right w:val="single" w:color="000000" w:sz="8" w:space="0"/>
            </w:tcBorders>
            <w:noWrap w:val="0"/>
            <w:vAlign w:val="center"/>
          </w:tcPr>
          <w:p>
            <w:pPr>
              <w:widowControl/>
              <w:spacing w:line="360" w:lineRule="exact"/>
              <w:ind w:firstLine="0"/>
              <w:jc w:val="center"/>
              <w:rPr>
                <w:rFonts w:hint="eastAsia" w:ascii="宋体" w:eastAsia="宋体" w:cs="Times New Roman"/>
                <w:kern w:val="0"/>
                <w:sz w:val="24"/>
                <w:szCs w:val="24"/>
                <w:lang w:bidi="ar-SA"/>
              </w:rPr>
            </w:pPr>
            <w:r>
              <w:rPr>
                <w:rFonts w:hint="eastAsia" w:ascii="宋体" w:eastAsia="宋体" w:cs="Times New Roman"/>
                <w:kern w:val="0"/>
                <w:sz w:val="21"/>
                <w:szCs w:val="21"/>
                <w:lang w:bidi="ar-SA"/>
              </w:rPr>
              <w:t>9</w:t>
            </w:r>
          </w:p>
        </w:tc>
        <w:tc>
          <w:tcPr>
            <w:tcW w:w="4925" w:type="dxa"/>
            <w:tcBorders>
              <w:top w:val="nil"/>
              <w:left w:val="nil"/>
              <w:bottom w:val="single" w:color="000000" w:sz="8" w:space="0"/>
              <w:right w:val="single" w:color="000000" w:sz="8" w:space="0"/>
            </w:tcBorders>
            <w:noWrap w:val="0"/>
            <w:vAlign w:val="top"/>
          </w:tcPr>
          <w:p>
            <w:pPr>
              <w:spacing w:line="240" w:lineRule="auto"/>
              <w:ind w:firstLine="0"/>
              <w:rPr>
                <w:rFonts w:ascii="Calibri" w:hAnsi="Calibri" w:eastAsia="宋体" w:cs="Times New Roman"/>
                <w:sz w:val="21"/>
                <w:lang w:bidi="ar-SA"/>
              </w:rPr>
            </w:pPr>
            <w:r>
              <w:rPr>
                <w:rFonts w:hint="eastAsia" w:ascii="Calibri" w:hAnsi="Calibri" w:eastAsia="宋体" w:cs="Times New Roman"/>
                <w:sz w:val="21"/>
                <w:lang w:bidi="ar-SA"/>
              </w:rPr>
              <w:t>供应商项目实施方案包含实施内容、人员配置、实施流程、实施进度计划、对接保障措施、安全保障措施的内容的得9分，每缺少</w:t>
            </w:r>
            <w:r>
              <w:rPr>
                <w:rFonts w:ascii="Calibri" w:hAnsi="Calibri" w:eastAsia="宋体" w:cs="Times New Roman"/>
                <w:sz w:val="21"/>
                <w:lang w:bidi="ar-SA"/>
              </w:rPr>
              <w:t>一项内容</w:t>
            </w:r>
            <w:r>
              <w:rPr>
                <w:rFonts w:hint="eastAsia" w:ascii="Calibri" w:hAnsi="Calibri" w:eastAsia="宋体" w:cs="Times New Roman"/>
                <w:sz w:val="21"/>
                <w:lang w:bidi="ar-SA"/>
              </w:rPr>
              <w:t>扣1.5分，每有一处表述不清或前后矛盾或逻辑冲突或不利于本项目实施的扣1分，扣完为止。</w:t>
            </w:r>
          </w:p>
        </w:tc>
        <w:tc>
          <w:tcPr>
            <w:tcW w:w="2171" w:type="dxa"/>
            <w:tcBorders>
              <w:top w:val="nil"/>
              <w:left w:val="nil"/>
              <w:bottom w:val="single" w:color="000000" w:sz="8" w:space="0"/>
              <w:right w:val="single" w:color="000000" w:sz="8" w:space="0"/>
            </w:tcBorders>
            <w:noWrap/>
            <w:vAlign w:val="center"/>
          </w:tcPr>
          <w:p>
            <w:pPr>
              <w:jc w:val="center"/>
              <w:textAlignment w:val="center"/>
              <w:rPr>
                <w:rFonts w:hint="eastAsia" w:ascii="宋体" w:eastAsia="宋体" w:cs="宋体"/>
                <w:color w:val="000000"/>
                <w:sz w:val="24"/>
                <w:szCs w:val="24"/>
                <w:lang w:bidi="ar-SA"/>
              </w:rPr>
            </w:pPr>
          </w:p>
        </w:tc>
      </w:tr>
    </w:tbl>
    <w:p>
      <w:pPr>
        <w:spacing w:line="578" w:lineRule="exact"/>
      </w:pPr>
    </w:p>
    <w:p>
      <w:bookmarkStart w:id="1" w:name="_GoBack"/>
      <w:bookmarkEnd w:id="1"/>
    </w:p>
    <w:sectPr>
      <w:pgSz w:w="11901" w:h="16840"/>
      <w:pgMar w:top="2098" w:right="1474" w:bottom="1985" w:left="1588"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永中宋体">
    <w:altName w:val="宋体"/>
    <w:panose1 w:val="02010600030101010101"/>
    <w:charset w:val="86"/>
    <w:family w:val="auto"/>
    <w:pitch w:val="default"/>
    <w:sig w:usb0="00000000"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jYzlhMmI5NWU5MTUzZWRmOTA5Mjk1MGZiZDc0ZGIifQ=="/>
  </w:docVars>
  <w:rsids>
    <w:rsidRoot w:val="00000000"/>
    <w:rsid w:val="642D0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pacing w:line="240" w:lineRule="auto"/>
      <w:jc w:val="left"/>
    </w:pPr>
    <w:rPr>
      <w:rFonts w:ascii="宋体" w:hAnsi="永中宋体" w:eastAsia="宋体" w:cs="永中宋体"/>
      <w:kern w:val="2"/>
      <w:sz w:val="24"/>
      <w:szCs w:val="21"/>
      <w:lang w:val="en-US" w:eastAsia="zh-CN" w:bidi="ar-SA"/>
    </w:rPr>
  </w:style>
  <w:style w:type="paragraph" w:styleId="2">
    <w:name w:val="heading 2"/>
    <w:next w:val="1"/>
    <w:qFormat/>
    <w:uiPriority w:val="0"/>
    <w:pPr>
      <w:keepNext/>
      <w:keepLines/>
      <w:widowControl w:val="0"/>
      <w:adjustRightInd/>
      <w:snapToGrid/>
      <w:spacing w:before="260" w:after="260" w:line="415" w:lineRule="auto"/>
      <w:jc w:val="both"/>
      <w:outlineLvl w:val="1"/>
    </w:pPr>
    <w:rPr>
      <w:rFonts w:ascii="Arial" w:hAnsi="Arial" w:eastAsia="黑体" w:cs="Times New Roman"/>
      <w:b/>
      <w:bCs/>
      <w:kern w:val="2"/>
      <w:sz w:val="32"/>
      <w:szCs w:val="3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before="0" w:after="140" w:line="276" w:lineRule="auto"/>
    </w:pPr>
  </w:style>
  <w:style w:type="paragraph" w:styleId="4">
    <w:name w:val="footer"/>
    <w:next w:val="3"/>
    <w:qFormat/>
    <w:uiPriority w:val="0"/>
    <w:pPr>
      <w:tabs>
        <w:tab w:val="center" w:pos="4153"/>
        <w:tab w:val="right" w:pos="8306"/>
      </w:tabs>
      <w:adjustRightInd w:val="0"/>
      <w:snapToGrid w:val="0"/>
      <w:spacing w:after="200"/>
    </w:pPr>
    <w:rPr>
      <w:rFonts w:ascii="Tahoma" w:hAnsi="Tahoma" w:eastAsia="微软雅黑" w:cs="Arial"/>
      <w:sz w:val="18"/>
      <w:szCs w:val="18"/>
      <w:lang w:val="en-US" w:eastAsia="zh-CN" w:bidi="ar-SA"/>
    </w:rPr>
  </w:style>
  <w:style w:type="character" w:styleId="7">
    <w:name w:val="page numb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灵枫萧瑟</cp:lastModifiedBy>
  <dcterms:modified xsi:type="dcterms:W3CDTF">2022-08-22T10:36:46Z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5B746B7041B546E3837BF9504EFA4F6E</vt:lpwstr>
  </property>
</Properties>
</file>