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4" w:name="_GoBack"/>
      <w:bookmarkEnd w:id="4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年度四川省残联新媒体平台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/>
          <w:bCs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运营维护机构比选评分细则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比选单位：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楷体" w:hAnsi="楷体" w:eastAsia="楷体"/>
          <w:b w:val="0"/>
          <w:bCs/>
          <w:sz w:val="28"/>
          <w:szCs w:val="28"/>
          <w:u w:val="single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评委签名：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</w:rPr>
        <w:t xml:space="preserve">                 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比选时间：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</w:rPr>
        <w:t>年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</w:rPr>
        <w:t>月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" w:hAnsi="楷体" w:eastAsia="楷体"/>
          <w:b w:val="0"/>
          <w:bCs/>
          <w:sz w:val="28"/>
          <w:szCs w:val="28"/>
          <w:u w:val="none"/>
        </w:rPr>
        <w:t>日</w:t>
      </w:r>
    </w:p>
    <w:tbl>
      <w:tblPr>
        <w:tblStyle w:val="4"/>
        <w:tblpPr w:leftFromText="180" w:rightFromText="180" w:vertAnchor="text" w:horzAnchor="margin" w:tblpXSpec="center" w:tblpY="60"/>
        <w:tblOverlap w:val="never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338"/>
        <w:gridCol w:w="518"/>
        <w:gridCol w:w="5701"/>
        <w:gridCol w:w="115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bookmarkStart w:id="0" w:name="_Toc7605"/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评审项目</w:t>
            </w:r>
            <w:bookmarkEnd w:id="0"/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bookmarkStart w:id="1" w:name="_Toc76"/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分值</w:t>
            </w:r>
            <w:bookmarkEnd w:id="1"/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bookmarkStart w:id="2" w:name="_Toc22784"/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评分标准</w:t>
            </w:r>
            <w:bookmarkEnd w:id="2"/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相应材料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  <w:bookmarkStart w:id="3" w:name="_Toc27536"/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服务方案</w:t>
            </w:r>
            <w:bookmarkEnd w:id="3"/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46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%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val="en-US"/>
              </w:rPr>
            </w:pPr>
            <w:r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比选方根据比选公告提出新媒体运营、策划方案，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方案必须符合网络意识形态工作相关要求，突出政治性、思想性，具有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系统性、专业化、完整度、科学合理性，创意突出、主题鲜明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具有极强的针对性、互动性、可操作性等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，在利用新媒体平台引领残疾人感党恩、听党话、跟党走方面举措切实可行，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能有效结合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残联工作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特点实现最佳传播效果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优得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1"/>
                <w:szCs w:val="21"/>
              </w:rPr>
              <w:t>30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分，良得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1"/>
                <w:szCs w:val="21"/>
              </w:rPr>
              <w:t>25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分，一般得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分，差得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须承诺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遵守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《中华人民共和国宣传工作条例》等相关法律及规定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04" w:firstLineChars="200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比选方根据比选公告提供网评队伍建设方案，按照可执行性、合理性、针对性、互动性等方面进行综合评审：优得8分，良得5分，中得3分，差不得分。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04" w:firstLineChars="200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比选方具有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媒体或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新媒体培训资源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年至今，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承接过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市级以上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单位媒体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业务能力提升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，最高得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分。（根据提供的资料进行综合评审）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比选文件制作规范，没有细微偏差情形的得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分；有一项细微偏差扣0.5分，直至该项分值扣完为止。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综合实力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%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根据提供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年至今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运营的自有新媒体平台、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代运营的新媒体平台稿件的阅读量等数据进行综合评定，阅读量10万+的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微信文章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原创文章每篇加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分，本项最多得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业绩以合同主页（盖章）+业绩佐证图（盖章）复印件加盖公章扫描件为准。可证明综合实力的资质性材料加盖公章扫描件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年至今，比选方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代运营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为代运营新媒体平台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制作的作品所获奖项的，国家级奖项获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分，省级奖项的获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分，市级奖项的获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，其中同一作品按最高奖项计分，不累计。此项最高得10分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。（根据提供的资料评审）</w:t>
            </w:r>
          </w:p>
        </w:tc>
        <w:tc>
          <w:tcPr>
            <w:tcW w:w="11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年至今，企业运营过市级及以上级别机关事业单位的新媒体项目，每个项目得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分，最多可得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spacing w:val="6"/>
                <w:sz w:val="24"/>
                <w:szCs w:val="24"/>
              </w:rPr>
            </w:pPr>
          </w:p>
        </w:tc>
        <w:tc>
          <w:tcPr>
            <w:tcW w:w="13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资深采编从业人员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具有广播电视编辑记者资格考试合格证、网络视听节目审核员证、新闻编辑证的，每个证明得2分，最多可得</w:t>
            </w:r>
            <w:r>
              <w:rPr>
                <w:rFonts w:hint="default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pacing w:val="6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6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本地化服务能力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%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比选方在成都或在成都设有分公司的得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  <w:lang w:eastAsia="zh-CN"/>
              </w:rPr>
              <w:t>证明材料加盖公章</w:t>
            </w: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1"/>
              <w:rPr>
                <w:rFonts w:ascii="宋体" w:hAnsi="宋体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6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highlight w:val="yellow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报价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</w:rPr>
              <w:t>%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spacing w:val="6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napToGrid w:val="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z w:val="21"/>
                <w:szCs w:val="21"/>
              </w:rPr>
              <w:t>满足比选文件要求且投标价格最低的投标报价为评标基准价，其价格分为满分。其他投标人的价格分统一按照下列公式计算：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napToGrid w:val="0"/>
                <w:sz w:val="21"/>
                <w:szCs w:val="21"/>
              </w:rPr>
              <w:t>投标报价得分=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1"/>
                <w:szCs w:val="21"/>
              </w:rPr>
              <w:t>(基准价÷机构报价)×</w:t>
            </w:r>
            <w:r>
              <w:rPr>
                <w:rFonts w:hint="default" w:ascii="CESI仿宋-GB18030" w:hAnsi="CESI仿宋-GB18030" w:eastAsia="CESI仿宋-GB18030" w:cs="CESI仿宋-GB18030"/>
                <w:bCs/>
                <w:color w:val="auto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ESI仿宋-GB18030" w:hAnsi="CESI仿宋-GB18030" w:eastAsia="CESI仿宋-GB18030" w:cs="CESI仿宋-GB18030"/>
                <w:bCs/>
                <w:color w:val="auto"/>
                <w:kern w:val="0"/>
                <w:sz w:val="21"/>
                <w:szCs w:val="21"/>
              </w:rPr>
              <w:t>%×100</w:t>
            </w:r>
            <w:r>
              <w:rPr>
                <w:rFonts w:hint="eastAsia" w:ascii="CESI仿宋-GB2312" w:hAnsi="CESI仿宋-GB2312" w:eastAsia="CESI仿宋-GB2312" w:cs="CESI仿宋-GB2312"/>
                <w:snapToGrid w:val="0"/>
                <w:sz w:val="21"/>
                <w:szCs w:val="21"/>
              </w:rPr>
              <w:t>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1"/>
                <w:szCs w:val="21"/>
              </w:rPr>
              <w:t>报价方案（加盖公章扫描件）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1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合 计 得 分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10"/>
          <w:szCs w:val="10"/>
        </w:rPr>
      </w:pPr>
    </w:p>
    <w:sectPr>
      <w:pgSz w:w="11906" w:h="16838"/>
      <w:pgMar w:top="2041" w:right="1418" w:bottom="1871" w:left="1587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zlhMmI5NWU5MTUzZWRmOTA5Mjk1MGZiZDc0ZGIifQ=="/>
  </w:docVars>
  <w:rsids>
    <w:rsidRoot w:val="00464598"/>
    <w:rsid w:val="00064447"/>
    <w:rsid w:val="00087294"/>
    <w:rsid w:val="000A0214"/>
    <w:rsid w:val="000B4135"/>
    <w:rsid w:val="000B6EB5"/>
    <w:rsid w:val="000C31E6"/>
    <w:rsid w:val="000D6924"/>
    <w:rsid w:val="001042A8"/>
    <w:rsid w:val="00132A7E"/>
    <w:rsid w:val="00173E38"/>
    <w:rsid w:val="001B21CD"/>
    <w:rsid w:val="00227090"/>
    <w:rsid w:val="00231903"/>
    <w:rsid w:val="00252C93"/>
    <w:rsid w:val="002C0788"/>
    <w:rsid w:val="002F4A2C"/>
    <w:rsid w:val="00370EE4"/>
    <w:rsid w:val="003A6D54"/>
    <w:rsid w:val="003C5920"/>
    <w:rsid w:val="00464598"/>
    <w:rsid w:val="004758E2"/>
    <w:rsid w:val="004B4AA3"/>
    <w:rsid w:val="00596139"/>
    <w:rsid w:val="005B38A9"/>
    <w:rsid w:val="005D686D"/>
    <w:rsid w:val="005E34DB"/>
    <w:rsid w:val="006A5D82"/>
    <w:rsid w:val="007A03FF"/>
    <w:rsid w:val="007C0442"/>
    <w:rsid w:val="007D3FCA"/>
    <w:rsid w:val="007E5507"/>
    <w:rsid w:val="00825442"/>
    <w:rsid w:val="0082718D"/>
    <w:rsid w:val="00861814"/>
    <w:rsid w:val="00893FB9"/>
    <w:rsid w:val="00905637"/>
    <w:rsid w:val="0090639B"/>
    <w:rsid w:val="00940996"/>
    <w:rsid w:val="0096439E"/>
    <w:rsid w:val="009806DF"/>
    <w:rsid w:val="009A3F94"/>
    <w:rsid w:val="009B7FA4"/>
    <w:rsid w:val="009E3F96"/>
    <w:rsid w:val="009E57AF"/>
    <w:rsid w:val="009F571D"/>
    <w:rsid w:val="009F5872"/>
    <w:rsid w:val="00A01367"/>
    <w:rsid w:val="00A11469"/>
    <w:rsid w:val="00A2718F"/>
    <w:rsid w:val="00A61FF9"/>
    <w:rsid w:val="00A66942"/>
    <w:rsid w:val="00A8648F"/>
    <w:rsid w:val="00B05E0D"/>
    <w:rsid w:val="00BC1675"/>
    <w:rsid w:val="00BE7803"/>
    <w:rsid w:val="00CD59F8"/>
    <w:rsid w:val="00CF634E"/>
    <w:rsid w:val="00D37475"/>
    <w:rsid w:val="00D561BB"/>
    <w:rsid w:val="00D61F05"/>
    <w:rsid w:val="00DA19D2"/>
    <w:rsid w:val="00DA75F0"/>
    <w:rsid w:val="00E2137F"/>
    <w:rsid w:val="00E21E25"/>
    <w:rsid w:val="00E87C0F"/>
    <w:rsid w:val="00EB758E"/>
    <w:rsid w:val="00FB0F53"/>
    <w:rsid w:val="00FE6E11"/>
    <w:rsid w:val="00FF6DC9"/>
    <w:rsid w:val="2ED4F17E"/>
    <w:rsid w:val="38AEAFBD"/>
    <w:rsid w:val="3B7F8143"/>
    <w:rsid w:val="3D66E191"/>
    <w:rsid w:val="3E7BB283"/>
    <w:rsid w:val="3F7D43C6"/>
    <w:rsid w:val="3FBC3919"/>
    <w:rsid w:val="3FEE0798"/>
    <w:rsid w:val="4F7091A5"/>
    <w:rsid w:val="547E7C21"/>
    <w:rsid w:val="57680FFE"/>
    <w:rsid w:val="57DB1B8E"/>
    <w:rsid w:val="59E7153C"/>
    <w:rsid w:val="5ADFA9D0"/>
    <w:rsid w:val="5BFDC49F"/>
    <w:rsid w:val="5D2FF11C"/>
    <w:rsid w:val="5FEFD27E"/>
    <w:rsid w:val="63FA4494"/>
    <w:rsid w:val="679F85D5"/>
    <w:rsid w:val="69FDF133"/>
    <w:rsid w:val="6BDE3A94"/>
    <w:rsid w:val="6F1EBA8E"/>
    <w:rsid w:val="6F3DDE6A"/>
    <w:rsid w:val="6FB6CD15"/>
    <w:rsid w:val="6FBD931D"/>
    <w:rsid w:val="6FF952E6"/>
    <w:rsid w:val="727DEFD2"/>
    <w:rsid w:val="74BEA9AD"/>
    <w:rsid w:val="76DD11F8"/>
    <w:rsid w:val="76F78439"/>
    <w:rsid w:val="77ED192C"/>
    <w:rsid w:val="7BF7104A"/>
    <w:rsid w:val="7DAF6700"/>
    <w:rsid w:val="7DFA3ED4"/>
    <w:rsid w:val="7EDA87C0"/>
    <w:rsid w:val="7FDFAAED"/>
    <w:rsid w:val="7FE64D1E"/>
    <w:rsid w:val="7FFFF50A"/>
    <w:rsid w:val="997FCDF0"/>
    <w:rsid w:val="AA1C0E21"/>
    <w:rsid w:val="ABEFDFFF"/>
    <w:rsid w:val="ABF13F18"/>
    <w:rsid w:val="BFFC3514"/>
    <w:rsid w:val="C7AF5481"/>
    <w:rsid w:val="C9BF5904"/>
    <w:rsid w:val="CFC6447F"/>
    <w:rsid w:val="D19EAC6F"/>
    <w:rsid w:val="D37E70B1"/>
    <w:rsid w:val="D3EE9F68"/>
    <w:rsid w:val="D7BF1717"/>
    <w:rsid w:val="D7E52F18"/>
    <w:rsid w:val="D7FEA530"/>
    <w:rsid w:val="DE7F01D5"/>
    <w:rsid w:val="DEBE3C86"/>
    <w:rsid w:val="DEFC467C"/>
    <w:rsid w:val="DF2B0AE8"/>
    <w:rsid w:val="DF787E55"/>
    <w:rsid w:val="DFEB8679"/>
    <w:rsid w:val="EBF8A008"/>
    <w:rsid w:val="EDFB1494"/>
    <w:rsid w:val="EEA79A14"/>
    <w:rsid w:val="EEBE12C3"/>
    <w:rsid w:val="F2D73CB7"/>
    <w:rsid w:val="F2DD6F65"/>
    <w:rsid w:val="F5B786A5"/>
    <w:rsid w:val="F77BF549"/>
    <w:rsid w:val="F7B95878"/>
    <w:rsid w:val="F7F46C0F"/>
    <w:rsid w:val="F7FFC031"/>
    <w:rsid w:val="FBFF05E0"/>
    <w:rsid w:val="FBFF2B3E"/>
    <w:rsid w:val="FBFF431F"/>
    <w:rsid w:val="FEFE46AB"/>
    <w:rsid w:val="FEFF9616"/>
    <w:rsid w:val="FF3F03B4"/>
    <w:rsid w:val="FF5B35E4"/>
    <w:rsid w:val="FF5F9B23"/>
    <w:rsid w:val="FFFDF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qFormat/>
    <w:uiPriority w:val="0"/>
    <w:pPr>
      <w:widowControl w:val="0"/>
      <w:snapToGrid w:val="0"/>
      <w:ind w:firstLine="200" w:firstLineChars="20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3081</Words>
  <Characters>3199</Characters>
  <Lines>7</Lines>
  <Paragraphs>2</Paragraphs>
  <TotalTime>0</TotalTime>
  <ScaleCrop>false</ScaleCrop>
  <LinksUpToDate>false</LinksUpToDate>
  <CharactersWithSpaces>3271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2020-04-13T08:58:00Z</dcterms:created>
  <dc:creator>Administrator</dc:creator>
  <cp:lastModifiedBy>灵枫萧瑟</cp:lastModifiedBy>
  <cp:lastPrinted>2021-12-26T08:40:00Z</cp:lastPrinted>
  <dcterms:modified xsi:type="dcterms:W3CDTF">2023-02-14T11:27:46Z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D321FB65B437ACB64343EB63AB85722B</vt:lpwstr>
  </property>
</Properties>
</file>