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80" w:lineRule="exact"/>
        <w:jc w:val="left"/>
        <w:rPr>
          <w:rFonts w:hint="eastAsia" w:ascii="方正小标宋_GBK" w:hAnsi="方正小标宋_GBK" w:eastAsia="方正小标宋_GBK" w:cs="方正小标宋_GBK"/>
          <w:kern w:val="2"/>
          <w:sz w:val="44"/>
          <w:szCs w:val="44"/>
          <w:lang w:val="en-US" w:eastAsia="zh-CN" w:bidi="ar-SA"/>
        </w:rPr>
      </w:pPr>
      <w:r>
        <w:rPr>
          <w:rFonts w:hint="eastAsia" w:ascii="黑体" w:hAnsi="黑体" w:eastAsia="黑体" w:cs="黑体"/>
          <w:kern w:val="2"/>
          <w:sz w:val="32"/>
          <w:szCs w:val="32"/>
          <w:lang w:val="en-US" w:eastAsia="zh-CN" w:bidi="ar-SA"/>
        </w:rPr>
        <w:t>附件</w:t>
      </w:r>
    </w:p>
    <w:p>
      <w:pPr>
        <w:pStyle w:val="14"/>
        <w:spacing w:line="480" w:lineRule="exact"/>
        <w:jc w:val="center"/>
        <w:rPr>
          <w:rFonts w:hint="default"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视频会议服务内</w:t>
      </w:r>
      <w:bookmarkStart w:id="0" w:name="_GoBack"/>
      <w:bookmarkEnd w:id="0"/>
      <w:r>
        <w:rPr>
          <w:rFonts w:hint="eastAsia" w:ascii="方正小标宋_GBK" w:hAnsi="方正小标宋_GBK" w:eastAsia="方正小标宋_GBK" w:cs="方正小标宋_GBK"/>
          <w:kern w:val="2"/>
          <w:sz w:val="44"/>
          <w:szCs w:val="44"/>
          <w:lang w:val="en-US" w:eastAsia="zh-CN" w:bidi="ar-SA"/>
        </w:rPr>
        <w:t>容及评分标准</w:t>
      </w:r>
    </w:p>
    <w:p>
      <w:pPr>
        <w:pStyle w:val="4"/>
        <w:numPr>
          <w:ilvl w:val="1"/>
          <w:numId w:val="1"/>
        </w:numPr>
        <w:spacing w:before="120" w:after="120" w:line="415" w:lineRule="auto"/>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采购项目概况</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构建结构合理、边界清晰、技术先进、安全可靠的省市信息化视讯协同业务服务系统。以应用为中心，以安全为保障，按照“统一平台接入、统一集中管控、统一标准规范”的原则，为各级会场提供横向、纵向网状协同沟通的视频支撑，实现省市残联可视化工作协同、满足日常工作会议、远程培训、制度学习等工作需求， 进一步通过信息化办公提升工作效率和加强各部门协调联动。</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本次项目服务内容为：构建覆盖省市共22个点位的信息化视讯协同业务服务系统。并提供相应运维服务，满足日常工作会议、远程培训、制度学习等工作需求，进一步通过信息化办公提升工作效率和加强各部门协调联动。</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p>
    <w:p>
      <w:pPr>
        <w:pStyle w:val="4"/>
        <w:numPr>
          <w:ilvl w:val="1"/>
          <w:numId w:val="1"/>
        </w:numPr>
        <w:spacing w:before="120" w:after="120" w:line="415" w:lineRule="auto"/>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服务要求</w:t>
      </w:r>
    </w:p>
    <w:p>
      <w:pPr>
        <w:pStyle w:val="14"/>
        <w:spacing w:line="480" w:lineRule="exact"/>
        <w:rPr>
          <w:rFonts w:hint="eastAsia" w:ascii="仿宋_GB2312" w:hAnsi="Times New Roman" w:eastAsia="仿宋_GB2312" w:cs="Arial"/>
          <w:b/>
          <w:bCs/>
          <w:kern w:val="2"/>
          <w:sz w:val="32"/>
          <w:szCs w:val="32"/>
          <w:lang w:val="en-US" w:eastAsia="zh-CN" w:bidi="ar-SA"/>
        </w:rPr>
      </w:pPr>
      <w:r>
        <w:rPr>
          <w:rFonts w:hint="eastAsia" w:ascii="仿宋_GB2312" w:hAnsi="Times New Roman" w:eastAsia="仿宋_GB2312" w:cs="Arial"/>
          <w:b/>
          <w:bCs/>
          <w:kern w:val="2"/>
          <w:sz w:val="32"/>
          <w:szCs w:val="32"/>
          <w:lang w:val="en-US" w:eastAsia="zh-CN" w:bidi="ar-SA"/>
        </w:rPr>
        <w:t>1.2.1技术服务要求</w:t>
      </w:r>
    </w:p>
    <w:p>
      <w:pPr>
        <w:pStyle w:val="14"/>
        <w:spacing w:line="480" w:lineRule="exact"/>
        <w:rPr>
          <w:rFonts w:hint="eastAsia" w:ascii="仿宋_GB2312" w:hAnsi="Times New Roman" w:eastAsia="仿宋_GB2312" w:cs="Arial"/>
          <w:b/>
          <w:bCs/>
          <w:kern w:val="2"/>
          <w:sz w:val="32"/>
          <w:szCs w:val="32"/>
          <w:lang w:val="en-US" w:eastAsia="zh-CN" w:bidi="ar-SA"/>
        </w:rPr>
      </w:pPr>
      <w:r>
        <w:rPr>
          <w:rFonts w:hint="eastAsia" w:ascii="仿宋_GB2312" w:hAnsi="Times New Roman" w:eastAsia="仿宋_GB2312" w:cs="Arial"/>
          <w:b/>
          <w:bCs/>
          <w:kern w:val="2"/>
          <w:sz w:val="32"/>
          <w:szCs w:val="32"/>
          <w:lang w:val="en-US" w:eastAsia="zh-CN" w:bidi="ar-SA"/>
        </w:rPr>
        <w:t>1.2.1.1场景应用要求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1.视频会议</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所有会场的高清视频会议终端，可以通过云端视频会议平台集中召集（提供会议控制方式，由省级会场自由控制会议的邀请、召开、画面布局、结束等，通过电脑web登录会议界面即可），实现多方同时音视频互通，同时可以通过终端发送辅流（会议ppt，word文档等材料），在通过高清会议终端输出到显示屏上。</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2.省、市之间互通</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省、市之间可以通过拨号的方式，直接进行音视频互通，例如成都市残联会议室可直接拨打绵阳市残联会议室号码，通过高清视讯终端实现双方音视频互通。每个会场也可通过WEB与小程序方式召集会议，自由灵活度高。</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3.远程培训（双向互动）</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通过视讯会议系统，随时可以进行内部学习、文化教育、远程研讨等实时交互式的培训，提高远程培训的效率。视频、教材双向呈现，讲师、学员双向互动，把更多的业务内容以最快的速度传达到相关人员。</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4.系统建设要求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设计总体组网视频会议解决方案、提供设备、网络、平台服务与技术支持，使残联各级会场实现互通视频会议功能。</w:t>
      </w:r>
    </w:p>
    <w:p>
      <w:pPr>
        <w:pStyle w:val="14"/>
        <w:spacing w:line="480" w:lineRule="exact"/>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1.2.1.2系统设备部署要求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（一）部署设备清单</w:t>
      </w:r>
    </w:p>
    <w:tbl>
      <w:tblPr>
        <w:tblStyle w:val="11"/>
        <w:tblW w:w="8385" w:type="dxa"/>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315"/>
        <w:gridCol w:w="1211"/>
        <w:gridCol w:w="3733"/>
        <w:gridCol w:w="992"/>
        <w:gridCol w:w="113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服务项目</w:t>
            </w:r>
          </w:p>
        </w:tc>
        <w:tc>
          <w:tcPr>
            <w:tcW w:w="121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设备</w:t>
            </w:r>
          </w:p>
        </w:tc>
        <w:tc>
          <w:tcPr>
            <w:tcW w:w="3733"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内容</w:t>
            </w:r>
          </w:p>
        </w:tc>
        <w:tc>
          <w:tcPr>
            <w:tcW w:w="992"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数量</w:t>
            </w:r>
          </w:p>
        </w:tc>
        <w:tc>
          <w:tcPr>
            <w:tcW w:w="1134"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15"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会场设备</w:t>
            </w:r>
          </w:p>
        </w:tc>
        <w:tc>
          <w:tcPr>
            <w:tcW w:w="1211" w:type="dxa"/>
            <w:tcBorders>
              <w:top w:val="nil"/>
              <w:left w:val="single" w:color="auto" w:sz="4" w:space="0"/>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分体式高清会议终端</w:t>
            </w:r>
          </w:p>
        </w:tc>
        <w:tc>
          <w:tcPr>
            <w:tcW w:w="3733"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分体式会议终端主机，提供极致高清画面和宽频语音。支持双流1080P30fps高清视频及辅流效果；支持双屏同显/异显效果。</w:t>
            </w:r>
          </w:p>
        </w:tc>
        <w:tc>
          <w:tcPr>
            <w:tcW w:w="992" w:type="dxa"/>
            <w:tcBorders>
              <w:top w:val="nil"/>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22</w:t>
            </w:r>
          </w:p>
        </w:tc>
        <w:tc>
          <w:tcPr>
            <w:tcW w:w="1134"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15" w:type="dxa"/>
            <w:vMerge w:val="continue"/>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p>
        </w:tc>
        <w:tc>
          <w:tcPr>
            <w:tcW w:w="1211" w:type="dxa"/>
            <w:tcBorders>
              <w:top w:val="nil"/>
              <w:left w:val="single" w:color="auto" w:sz="4" w:space="0"/>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会议高清</w:t>
            </w:r>
          </w:p>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摄像头</w:t>
            </w:r>
          </w:p>
        </w:tc>
        <w:tc>
          <w:tcPr>
            <w:tcW w:w="3733"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12倍专业光学会议摄像机，超大机械云台转角。高品质CMOS传感器；72.5°超大无畸变广角。</w:t>
            </w:r>
          </w:p>
        </w:tc>
        <w:tc>
          <w:tcPr>
            <w:tcW w:w="992" w:type="dxa"/>
            <w:tcBorders>
              <w:top w:val="nil"/>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22</w:t>
            </w:r>
          </w:p>
        </w:tc>
        <w:tc>
          <w:tcPr>
            <w:tcW w:w="1134"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15" w:type="dxa"/>
            <w:vMerge w:val="continue"/>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p>
        </w:tc>
        <w:tc>
          <w:tcPr>
            <w:tcW w:w="1211" w:type="dxa"/>
            <w:tcBorders>
              <w:top w:val="nil"/>
              <w:left w:val="single" w:color="auto" w:sz="4" w:space="0"/>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会议麦克风</w:t>
            </w:r>
          </w:p>
        </w:tc>
        <w:tc>
          <w:tcPr>
            <w:tcW w:w="3733"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2只UHF无线充电会议麦</w:t>
            </w:r>
          </w:p>
        </w:tc>
        <w:tc>
          <w:tcPr>
            <w:tcW w:w="992" w:type="dxa"/>
            <w:tcBorders>
              <w:top w:val="nil"/>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44</w:t>
            </w:r>
          </w:p>
        </w:tc>
        <w:tc>
          <w:tcPr>
            <w:tcW w:w="1134"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1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专线</w:t>
            </w:r>
          </w:p>
        </w:tc>
        <w:tc>
          <w:tcPr>
            <w:tcW w:w="1211" w:type="dxa"/>
            <w:tcBorders>
              <w:top w:val="nil"/>
              <w:left w:val="single" w:color="auto" w:sz="4" w:space="0"/>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会议专线</w:t>
            </w:r>
          </w:p>
        </w:tc>
        <w:tc>
          <w:tcPr>
            <w:tcW w:w="3733" w:type="dxa"/>
            <w:tcBorders>
              <w:top w:val="nil"/>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不低于50M会议视讯专线</w:t>
            </w:r>
          </w:p>
        </w:tc>
        <w:tc>
          <w:tcPr>
            <w:tcW w:w="992" w:type="dxa"/>
            <w:tcBorders>
              <w:top w:val="nil"/>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22</w:t>
            </w:r>
          </w:p>
        </w:tc>
        <w:tc>
          <w:tcPr>
            <w:tcW w:w="1134" w:type="dxa"/>
            <w:tcBorders>
              <w:top w:val="nil"/>
              <w:left w:val="nil"/>
              <w:bottom w:val="single" w:color="000000" w:sz="4" w:space="0"/>
              <w:right w:val="single" w:color="000000" w:sz="4" w:space="0"/>
            </w:tcBorders>
            <w:tcMar>
              <w:top w:w="15" w:type="dxa"/>
              <w:left w:w="15" w:type="dxa"/>
              <w:bottom w:w="15" w:type="dxa"/>
              <w:right w:w="15" w:type="dxa"/>
            </w:tcMar>
            <w:vAlign w:val="cente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条</w:t>
            </w:r>
          </w:p>
        </w:tc>
      </w:tr>
    </w:tbl>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（二）系统功能要求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1.主叫呼集</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会场操控人员可使用遥控器直接呼叫对方的号码（或从电话本选择呼叫），无需其他人协助，可以在任意一个终端会场，自主召集会议，不需要系统管理员协助。系统侧可实现无人值守，实现一键呼集，像打电话一样方便。</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2.呼叫落地</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供应商提供的视频会议系统应支持呼叫落地具备良好的互通性。支持手机以语音/视频方式参与到视频会议中；支持无需安装客户端，手机直接以Volte视频方式与语音方式入会，进行音/视频混合组会。</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3.双流能力</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终端支持双流能力，支持BFCP协议，辅流通过HDMI线，无需其他传输设备，同步传输音视频信号。</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4.会场轮播</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系统支持轮询功能，可以设置需要轮询的顺序、时间等等，同时支持演讲者模式，固定画面模式，声控模式等多种模式，支持24分屏设置，支持会议中途会议延时设置。</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（三）配置与功能要求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供应商提供的分体式高清视频会议套件（或终端），分体式高清视频会议套件（或终端）应具备以下组件（最低满足）：12倍光学高清摄像机、无线充电麦克风、高清视频编解码等，且所提供产品均具有统一标识。</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2.供应商提供相应的云端音视频处理平台，本地无需部署MCU或其他中央控制设备。</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3.供应商提供的会议管理平台应支持同时为多个会议提供服务，向多个会议提供会议管理、会议控制等功能。</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4.会议系统可通过访问会议管理平台、手机软终端、电脑软终端、微信小程序等来发起会议、进行会控。</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5.供应商提供的会议管理平台应支持视频会议音视频录像存储时间不少于180天。</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6.终端支持本地会议录制，支持USB口插入存储设备，实现本地会议的便捷录制；</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7.终端支持H.261、H.263、H.264、H.265等视频协议（需提供相关检测报告）；</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8.终端支持AAC-LD、G.722、G.711a、G.711u、G.723.1、G.728、G.729、MPEG-4等音频协议（需提供相关检测报告）；</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9.供应商提供的视频会议系统应能支持不低于500个与会方（终端）同时参会，所有会场均能实现高清互通、整体联调；</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10.支持终端会控功能，支持通过终端遥控器发起多方会议，并可进行会议中人员管理、混屏界面管理。</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11.供应商提供会议管理平台所需的相关设备，在自有机房进行存放和管理，非托管在第三方。</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12.本项目视频会议系统应支持会议控制功能：如开启、群挂、群体静音、禁言、点名等功能。</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13.供应商提供的会议系统应支持短信通知与字幕显示，及高清视讯终端须提供中文会场名显示功能，用户可以轻松分辨出当前观看的是哪个会场</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14.供应商所投设备需支持无线电发射设备型号核准证（需提供相关证书复印件）。</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15.支持IPv4和IPv6双协议栈。</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16.支持一键自检功能，可定位故障原因</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17.供应商所提供的会议终端设备，须具备电信入网证书</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18.供应商所提供的会议终端设备，须具备CQC证书</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（四）网络要求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视讯系统作为一种新型的网络应用，须保障高清会议顺利进行。具体要求如下：</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接入网要求：设计互联网专线/数据专线（上下行对称），以满足高清视讯需求；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带宽要求：最佳线路环境，各级会场专线均不低于独享20M 带宽。项目期内，保证带宽满足项目需要。如因带宽原因影响会议使用，需原资费升级带宽。</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传输要求：音频数据延时少于60 ms，抖动少于20%；视频数据延时少于200ms。网络丢包率少于1%；</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防火墙要求：最佳要求，对视频会议设备权限全放开。最低要求，对视频会议所要求的端口范围开放，常连接时间设置足够长的时间甚至永久；</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（五）售后服务要求</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供应商除视频会议系统租赁外，还应提供相应的保障服务，确保合同有效期内视频会议系统正常运转。详细要求如下：</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（1）供应商提供的视频会议系统部署完成后，应组织专门技术人员对各终端使用人员进行集中培训。</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（2）供应商应提供远程故障排查：提供7*24小时的客户热线服务，在接到客户报修电话后立刻提供电话技术支持服务，并可以进行远程维护。</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3）供应商提供现场故障排查：如果不能通过电话支持服务和远程支持服务解决设备发生的技术故障，且经双方商议确认需要进行现场支持的情况下，供应商将派人赴现场协助用户排除故障。故障响应类型和级别要求如下：</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一级故障：主要指设备在运行中出现系统瘫痪或服务中断，导致设备的基本功能不能实现或全面退化的故障。</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二级故障：主要指设备在运行中出现的故障具有潜在的系统瘫痪或服务中断的危险，并可能导致设备的基本功能不能实现或全面退化。</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三级故障：主要指设备在运行中出现的直接影响服务，导致系统性能或服务部分退化的故障。</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四级故障：主要指设备在运行中出现的，断续或间接地影响系统功能和服务的故障。</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对每级故障，确定不同的现场响应时间：</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p>
    <w:tbl>
      <w:tblPr>
        <w:tblStyle w:val="11"/>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090"/>
        <w:gridCol w:w="2551"/>
        <w:gridCol w:w="38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90" w:type="dxa"/>
            <w:tcBorders>
              <w:top w:val="single" w:color="000000" w:sz="4" w:space="0"/>
              <w:left w:val="single" w:color="000000" w:sz="4" w:space="0"/>
              <w:bottom w:val="single" w:color="000000" w:sz="4" w:space="0"/>
              <w:right w:val="single" w:color="000000" w:sz="4" w:space="0"/>
            </w:tcBorders>
            <w:shd w:val="clear" w:color="auto" w:fill="F1F1F1" w:themeFill="background1" w:themeFillShade="F2"/>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故障级别</w:t>
            </w:r>
          </w:p>
        </w:tc>
        <w:tc>
          <w:tcPr>
            <w:tcW w:w="2551" w:type="dxa"/>
            <w:tcBorders>
              <w:top w:val="single" w:color="000000" w:sz="4" w:space="0"/>
              <w:left w:val="nil"/>
              <w:bottom w:val="single" w:color="000000" w:sz="4" w:space="0"/>
              <w:right w:val="single" w:color="000000" w:sz="4" w:space="0"/>
            </w:tcBorders>
            <w:shd w:val="clear" w:color="auto" w:fill="F1F1F1" w:themeFill="background1" w:themeFillShade="F2"/>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响应时间</w:t>
            </w:r>
          </w:p>
        </w:tc>
        <w:tc>
          <w:tcPr>
            <w:tcW w:w="3828" w:type="dxa"/>
            <w:tcBorders>
              <w:top w:val="single" w:color="000000" w:sz="4" w:space="0"/>
              <w:left w:val="nil"/>
              <w:bottom w:val="single" w:color="000000" w:sz="4" w:space="0"/>
              <w:right w:val="single" w:color="000000" w:sz="4" w:space="0"/>
            </w:tcBorders>
            <w:shd w:val="clear" w:color="auto" w:fill="F1F1F1" w:themeFill="background1" w:themeFillShade="F2"/>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解决时间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9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一级故障</w:t>
            </w:r>
          </w:p>
        </w:tc>
        <w:tc>
          <w:tcPr>
            <w:tcW w:w="2551"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立即</w:t>
            </w:r>
          </w:p>
        </w:tc>
        <w:tc>
          <w:tcPr>
            <w:tcW w:w="3828"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现场恢复时间≤4小时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9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二级故障</w:t>
            </w:r>
          </w:p>
        </w:tc>
        <w:tc>
          <w:tcPr>
            <w:tcW w:w="2551"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立即</w:t>
            </w:r>
          </w:p>
        </w:tc>
        <w:tc>
          <w:tcPr>
            <w:tcW w:w="3828"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现场恢复时间≤4小时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9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三级故障</w:t>
            </w:r>
          </w:p>
        </w:tc>
        <w:tc>
          <w:tcPr>
            <w:tcW w:w="2551"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立即</w:t>
            </w:r>
          </w:p>
        </w:tc>
        <w:tc>
          <w:tcPr>
            <w:tcW w:w="3828"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现场恢复时间≤6小时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090"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四级故障</w:t>
            </w:r>
          </w:p>
        </w:tc>
        <w:tc>
          <w:tcPr>
            <w:tcW w:w="2551"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立即</w:t>
            </w:r>
          </w:p>
        </w:tc>
        <w:tc>
          <w:tcPr>
            <w:tcW w:w="3828" w:type="dxa"/>
            <w:tcBorders>
              <w:top w:val="nil"/>
              <w:left w:val="nil"/>
              <w:bottom w:val="single" w:color="000000" w:sz="4" w:space="0"/>
              <w:right w:val="single" w:color="000000" w:sz="4" w:space="0"/>
            </w:tcBorders>
            <w:tcMar>
              <w:top w:w="0" w:type="dxa"/>
              <w:left w:w="105" w:type="dxa"/>
              <w:bottom w:w="0" w:type="dxa"/>
              <w:right w:w="105" w:type="dxa"/>
            </w:tcMar>
          </w:tcPr>
          <w:p>
            <w:pPr>
              <w:pStyle w:val="14"/>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Times New Roman" w:eastAsia="仿宋_GB2312" w:cs="Arial"/>
                <w:kern w:val="2"/>
                <w:sz w:val="28"/>
                <w:szCs w:val="28"/>
                <w:lang w:val="en-US" w:eastAsia="zh-CN" w:bidi="ar-SA"/>
              </w:rPr>
            </w:pPr>
            <w:r>
              <w:rPr>
                <w:rFonts w:hint="eastAsia" w:ascii="仿宋_GB2312" w:hAnsi="Times New Roman" w:eastAsia="仿宋_GB2312" w:cs="Arial"/>
                <w:kern w:val="2"/>
                <w:sz w:val="28"/>
                <w:szCs w:val="28"/>
                <w:lang w:val="en-US" w:eastAsia="zh-CN" w:bidi="ar-SA"/>
              </w:rPr>
              <w:t>现场恢复时间≤8小时</w:t>
            </w:r>
          </w:p>
        </w:tc>
      </w:tr>
    </w:tbl>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对一、二级故障，供应商应组织技术专家保持跟进，技术人员在收到故障通知后，在提供远程服务的同时，从离故障现场最近的维修点乘坐最快交通工具在最短时间内赶赴现场对设备进行排障检修。</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对三、四级故障，并且该故障是由于软、硬件缺陷引起的，服务方通过软件升级或硬件返修进行解决，可视为已经响应。</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会议终端定期（按季度）通过网管平台进行在线巡检，了解设备基础情况，进行终端软件版本维护更新。</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会议系统需要的传输电路和传输设备提供不定期运行质量测试服务。</w:t>
      </w:r>
    </w:p>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r>
        <w:rPr>
          <w:rFonts w:hint="eastAsia" w:ascii="仿宋_GB2312" w:hAnsi="Times New Roman" w:eastAsia="仿宋_GB2312" w:cs="Arial"/>
          <w:kern w:val="2"/>
          <w:sz w:val="32"/>
          <w:szCs w:val="32"/>
          <w:lang w:val="en-US" w:eastAsia="zh-CN" w:bidi="ar-SA"/>
        </w:rPr>
        <w:t>其他未尽事宜，签订合同时双方协商确定。</w:t>
      </w:r>
    </w:p>
    <w:p>
      <w:pPr>
        <w:pStyle w:val="14"/>
        <w:keepNext w:val="0"/>
        <w:keepLines w:val="0"/>
        <w:pageBreakBefore w:val="0"/>
        <w:widowControl/>
        <w:kinsoku/>
        <w:wordWrap/>
        <w:overflowPunct/>
        <w:topLinePunct w:val="0"/>
        <w:autoSpaceDE/>
        <w:autoSpaceDN/>
        <w:bidi w:val="0"/>
        <w:adjustRightInd/>
        <w:snapToGrid/>
        <w:spacing w:line="480" w:lineRule="exact"/>
        <w:ind w:firstLine="640" w:firstLineChars="200"/>
        <w:jc w:val="center"/>
        <w:textAlignment w:val="auto"/>
        <w:rPr>
          <w:rFonts w:hint="eastAsia" w:ascii="仿宋_GB2312" w:hAnsi="Times New Roman" w:eastAsia="仿宋_GB2312" w:cs="Arial"/>
          <w:kern w:val="2"/>
          <w:sz w:val="32"/>
          <w:szCs w:val="32"/>
          <w:lang w:val="en-US" w:eastAsia="zh-CN" w:bidi="ar-SA"/>
        </w:rPr>
      </w:pPr>
    </w:p>
    <w:p>
      <w:pPr>
        <w:pStyle w:val="14"/>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kern w:val="2"/>
          <w:sz w:val="40"/>
          <w:szCs w:val="40"/>
          <w:lang w:val="en-US" w:eastAsia="zh-CN" w:bidi="ar-SA"/>
        </w:rPr>
      </w:pPr>
      <w:r>
        <w:rPr>
          <w:rFonts w:hint="eastAsia" w:ascii="黑体" w:hAnsi="黑体" w:eastAsia="黑体" w:cs="黑体"/>
          <w:kern w:val="2"/>
          <w:sz w:val="40"/>
          <w:szCs w:val="40"/>
          <w:lang w:val="en-US" w:eastAsia="zh-CN" w:bidi="ar-SA"/>
        </w:rPr>
        <w:t>评分标准</w:t>
      </w:r>
    </w:p>
    <w:tbl>
      <w:tblPr>
        <w:tblStyle w:val="11"/>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Layout w:type="fixed"/>
        <w:tblCellMar>
          <w:top w:w="0" w:type="dxa"/>
          <w:left w:w="108" w:type="dxa"/>
          <w:bottom w:w="0" w:type="dxa"/>
          <w:right w:w="108" w:type="dxa"/>
        </w:tblCellMar>
      </w:tblPr>
      <w:tblGrid>
        <w:gridCol w:w="1312"/>
        <w:gridCol w:w="3589"/>
        <w:gridCol w:w="779"/>
        <w:gridCol w:w="1534"/>
        <w:gridCol w:w="12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评审项</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详细描述</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分值</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客观/主观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关联格式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技术要求</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完全符合采购文件技术要求，没有负偏离，得30分；需按要求提供证明材料，参数不满足或负偏离每项扣2分；扣完为止。</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default"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20</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客观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应答表</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其它证明材料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平台成熟度要求</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1.供应商所提供的会议系统平台为自建自有业务平台，非第三方平台，提相关证明。提供得3分，不提供不得分；</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2.供应商所提供的会议系统平台为成熟商用产品，首次商用时间须不少于3年。提供相关证明得3分，不提供不得分；</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3.供应商所提供的会议系统平台拥有自主知识产权，提供计算机软件著作权登记证书证明。提供得3分，不提供不得分；</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4.供应商所提供的会议系统平台符合网络安全等级测评的安全保护等级第三级要求(提供测评报告复印件并加盖供应商公章)。提供得3分，不提供不得分；</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5.供应商所提供的会议系统平台具备媒体播报功能，拥有自主知识产权，提供计算机软件著作权登记证书证明。提供得3分，不提供不得分；</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15</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客观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其它证明材料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技术方案</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据供应商提供的项目整体方案进行综合评比，项目实施方案包含以下5点，能完全符合本次项目采购任务，充分理解和把握此次采购项目的核心内容和重点目标。1、有完善的项目质量保障措施；2、有合理的项目组织管理；3、有整体系统调试方案；4、有合理的工期保证措施；5、项目实施整体思路和施工方案。在满足以上5点的基础上，方案完善，表述清晰明确，具有可实施性得18分，服务方案合理，表述一般得12分，方案基本满足要求得6分，不满足或者未提供不得分。</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18</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主观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其它证明材料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履约能力</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供应商（包括其分公司）提供2020年1月1日（含）以来省内类似单项目达200个及以上会场的项目案例（合同中至少包含视频会议系统建设或租赁服务），每提供一个得3分，本项最多得9分。（提供合同复印件，加盖供应商公章。）</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9</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客观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商务应答表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售后服务保障</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为了项目可靠的全方面实施，须在四川省的省、市（州）两级设立有服务网点（需覆盖全省至少21个市/州，并提供派驻机构营业执照复印件或场地租赁合同复印件，并加盖供应商鲜章）。全部提供得10分，未提供或提供不全不得分。</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10</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客观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其它证明材料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人员配置</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1.供应商具有有效的信息安全管理体系认证得2分、信息技术服务管理体系认证证书得2分，最多得4分。（供应商提供证书复印件加盖供应商公章佐证得分，未提供不得分）；</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2.供应商拟派本项目的项目经理（1人）：</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同时具备①人社部和工信部颁发的中级或以上互联网技术通信专业技术人员职业资格证②人社部和工信部颁发的计算机技术与软件专业技术资格-网络工程师（中级或以上）证书③注册信息安全专业人员证书（CISP）。④工业和信息化部教育与考试中心颁发的网络与信息安全管理师（初级或以上）证书⑤国家互联网应急中心颁发的网络安全能力认证-网络安全技术（一级或以上）证书。每具备一项得1.5分，本项最高得7.5分。</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3.供应商拟派本项目技术负责人（共1人）:</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同时具备①中国电子技术标准化研究院颁发的IT服务项目经理(ITSS)证书②中国信息安全测评中心颁发的CISP(注册信息安全管理人员)证书③工信部软件与集成电路促进中心颁发的网络安全高级工程师证书，每提供一项得1.5分，最多得4.5分。(提供人员在职证明材料及证书复印件并加盖供应商公章)</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4.供应商拟派本项目团队成员（项目经理除外）：每有一名团队成员具备通信相关专业高级职称的得1分，每有一名团队成员具备通信相关专业中级职称的得0.5分，本项最高得2分。(注：提供对应人员的在职证明材料、有效期内的证书复印件并加盖供应商公章。按照“就高不就低”的原则，同一人员不重复计分。)</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18</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客观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其它证明材料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PrEx>
        <w:trPr>
          <w:jc w:val="center"/>
        </w:trPr>
        <w:tc>
          <w:tcPr>
            <w:tcW w:w="1312"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价格分</w:t>
            </w:r>
          </w:p>
        </w:tc>
        <w:tc>
          <w:tcPr>
            <w:tcW w:w="358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left"/>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满足报价要求且最后报价最低的供应商的价格为投标基准价，其价格分为满分。其他供应商的价格分统一按照下列公式计算：投标报价得分=(投标基准价/最后投标报价)×10。</w:t>
            </w:r>
          </w:p>
        </w:tc>
        <w:tc>
          <w:tcPr>
            <w:tcW w:w="779"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10</w:t>
            </w:r>
          </w:p>
        </w:tc>
        <w:tc>
          <w:tcPr>
            <w:tcW w:w="153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客观</w:t>
            </w:r>
          </w:p>
        </w:tc>
        <w:tc>
          <w:tcPr>
            <w:tcW w:w="1230"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报价表</w:t>
            </w:r>
          </w:p>
          <w:p>
            <w:pPr>
              <w:pStyle w:val="14"/>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auto"/>
              <w:rPr>
                <w:rFonts w:hint="eastAsia" w:ascii="仿宋_GB2312" w:hAnsi="Times New Roman" w:eastAsia="仿宋_GB2312" w:cs="Arial"/>
                <w:kern w:val="2"/>
                <w:sz w:val="24"/>
                <w:szCs w:val="24"/>
                <w:lang w:val="en-US" w:eastAsia="zh-CN" w:bidi="ar-SA"/>
              </w:rPr>
            </w:pPr>
            <w:r>
              <w:rPr>
                <w:rFonts w:hint="eastAsia" w:ascii="仿宋_GB2312" w:hAnsi="Times New Roman" w:eastAsia="仿宋_GB2312" w:cs="Arial"/>
                <w:kern w:val="2"/>
                <w:sz w:val="24"/>
                <w:szCs w:val="24"/>
                <w:lang w:val="en-US" w:eastAsia="zh-CN" w:bidi="ar-SA"/>
              </w:rPr>
              <w:t>分项报价表</w:t>
            </w:r>
          </w:p>
        </w:tc>
      </w:tr>
    </w:tbl>
    <w:p>
      <w:pPr>
        <w:pStyle w:val="14"/>
        <w:spacing w:line="480" w:lineRule="exact"/>
        <w:ind w:firstLine="640" w:firstLineChars="200"/>
        <w:rPr>
          <w:rFonts w:hint="eastAsia" w:ascii="仿宋_GB2312" w:hAnsi="Times New Roman" w:eastAsia="仿宋_GB2312" w:cs="Arial"/>
          <w:kern w:val="2"/>
          <w:sz w:val="32"/>
          <w:szCs w:val="32"/>
          <w:lang w:val="en-US" w:eastAsia="zh-CN" w:bidi="ar-SA"/>
        </w:rPr>
      </w:pPr>
    </w:p>
    <w:p>
      <w:pPr>
        <w:ind w:firstLine="648"/>
        <w:jc w:val="right"/>
        <w:rPr>
          <w:rFonts w:hint="eastAsia" w:ascii="仿宋_GB2312" w:eastAsia="仿宋_GB2312"/>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等线">
    <w:altName w:val="永中宋体"/>
    <w:panose1 w:val="02010600030101010101"/>
    <w:charset w:val="86"/>
    <w:family w:val="auto"/>
    <w:pitch w:val="default"/>
    <w:sig w:usb0="00000000" w:usb1="00000000" w:usb2="00000016" w:usb3="00000000" w:csb0="0004000F" w:csb1="00000000"/>
  </w:font>
  <w:font w:name="永中宋体">
    <w:panose1 w:val="02010600030101010101"/>
    <w:charset w:val="86"/>
    <w:family w:val="auto"/>
    <w:pitch w:val="default"/>
    <w:sig w:usb0="00000803" w:usb1="080E0000" w:usb2="00000000" w:usb3="00000000" w:csb0="00040001" w:csb1="00000000"/>
  </w:font>
  <w:font w:name="Luxi Sans">
    <w:altName w:val="DejaVu Sans"/>
    <w:panose1 w:val="00000000000000000000"/>
    <w:charset w:val="00"/>
    <w:family w:val="auto"/>
    <w:pitch w:val="default"/>
    <w:sig w:usb0="00000000" w:usb1="00000000" w:usb2="00000000" w:usb3="00000000" w:csb0="00000000" w:csb1="00000000"/>
  </w:font>
  <w:font w:name="Cambria">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C5CBB"/>
    <w:multiLevelType w:val="multilevel"/>
    <w:tmpl w:val="2E9C5CBB"/>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317609EE"/>
    <w:rsid w:val="5DE76CDC"/>
    <w:rsid w:val="753F13CA"/>
    <w:rsid w:val="7E7F063E"/>
    <w:rsid w:val="7FFB3B73"/>
    <w:rsid w:val="AFEEDB73"/>
    <w:rsid w:val="B57B641B"/>
    <w:rsid w:val="C7F5C7D2"/>
    <w:rsid w:val="DFBF2716"/>
    <w:rsid w:val="F69FC5DB"/>
    <w:rsid w:val="FCB5395C"/>
    <w:rsid w:val="FFDF1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2">
    <w:name w:val="Default Paragraph Font"/>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List Paragraph"/>
    <w:basedOn w:val="1"/>
    <w:qFormat/>
    <w:uiPriority w:val="0"/>
    <w:pPr>
      <w:ind w:firstLine="200" w:firstLineChars="200"/>
    </w:pPr>
  </w:style>
  <w:style w:type="paragraph" w:customStyle="1" w:styleId="14">
    <w:name w:val="null3"/>
    <w:hidden/>
    <w:qFormat/>
    <w:uiPriority w:val="0"/>
    <w:rPr>
      <w:rFonts w:hint="eastAsia" w:asciiTheme="minorHAnsi" w:hAnsiTheme="minorHAnsi" w:eastAsiaTheme="minorEastAsia" w:cstheme="minorBidi"/>
      <w:lang w:val="en-US" w:eastAsia="zh-Han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3</Pages>
  <Words>1000</Words>
  <Characters>1050</Characters>
  <Lines>66</Lines>
  <Paragraphs>32</Paragraphs>
  <TotalTime>23</TotalTime>
  <ScaleCrop>false</ScaleCrop>
  <LinksUpToDate>false</LinksUpToDate>
  <CharactersWithSpaces>1057</CharactersWithSpaces>
  <Application>WPS Office_11.1.0.11708_F1E327BC-269C-435d-A152-05C5408002CA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2020-12-09T05:23:00Z</dcterms:created>
  <dc:creator>mi</dc:creator>
  <cp:lastModifiedBy>吴立群</cp:lastModifiedBy>
  <cp:lastPrinted>2023-12-12T16:57:59Z</cp:lastPrinted>
  <dcterms:modified xsi:type="dcterms:W3CDTF">2023-12-12T17:41:34Z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2052-11.1.0.11708</vt:lpwstr>
  </property>
</Properties>
</file>