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3639F9">
      <w:pPr>
        <w:pStyle w:val="15"/>
        <w:spacing w:line="480" w:lineRule="exact"/>
        <w:rPr>
          <w:rFonts w:hint="eastAsia" w:ascii="黑体" w:hAnsi="黑体" w:eastAsia="黑体" w:cs="黑体"/>
          <w:kern w:val="2"/>
          <w:sz w:val="32"/>
          <w:szCs w:val="32"/>
          <w:lang w:val="en-US" w:eastAsia="zh-CN" w:bidi="ar-SA"/>
        </w:rPr>
      </w:pPr>
      <w:bookmarkStart w:id="0" w:name="_GoBack"/>
      <w:bookmarkEnd w:id="0"/>
    </w:p>
    <w:p w14:paraId="3EC99DD6">
      <w:pPr>
        <w:pStyle w:val="15"/>
        <w:spacing w:line="480" w:lineRule="exact"/>
        <w:jc w:val="center"/>
        <w:rPr>
          <w:rFonts w:hint="default" w:ascii="方正小标宋_GBK" w:hAnsi="方正小标宋_GBK" w:eastAsia="方正小标宋_GBK" w:cs="方正小标宋_GBK"/>
          <w:kern w:val="2"/>
          <w:sz w:val="44"/>
          <w:szCs w:val="44"/>
          <w:lang w:val="en-US" w:eastAsia="zh-CN" w:bidi="ar-SA"/>
        </w:rPr>
      </w:pPr>
      <w:r>
        <w:rPr>
          <w:rFonts w:hint="eastAsia" w:ascii="方正小标宋_GBK" w:hAnsi="方正小标宋_GBK" w:eastAsia="方正小标宋_GBK" w:cs="方正小标宋_GBK"/>
          <w:kern w:val="2"/>
          <w:sz w:val="44"/>
          <w:szCs w:val="44"/>
          <w:lang w:val="en-US" w:eastAsia="zh-CN" w:bidi="ar-SA"/>
        </w:rPr>
        <w:t>采购内容</w:t>
      </w:r>
    </w:p>
    <w:p w14:paraId="2BE972F3">
      <w:pPr>
        <w:pStyle w:val="4"/>
        <w:numPr>
          <w:ilvl w:val="1"/>
          <w:numId w:val="1"/>
        </w:numPr>
        <w:spacing w:before="120" w:after="120" w:line="415" w:lineRule="auto"/>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采购项目概况</w:t>
      </w:r>
    </w:p>
    <w:p w14:paraId="324D4D87">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构建结构合理、边界清晰、技术先进、安全可靠的省市信息化视讯协同业务服务系统。以应用为中心，以安全为保障，按照“统一平台接入、统一集中管控、统一标准规范”的原则，为各级会场提供横向、纵向网状协同沟通的视频支撑，实现省市残联可视化工作协同、满足日常工作会议、远程培训、制度学习等工作需求， 进一步通过信息化办公提升工作效率和加强</w:t>
      </w:r>
      <w:r>
        <w:rPr>
          <w:rFonts w:hint="eastAsia" w:ascii="仿宋_GB2312" w:hAnsi="仿宋_GB2312" w:eastAsia="仿宋_GB2312" w:cs="仿宋_GB2312"/>
          <w:sz w:val="24"/>
          <w:szCs w:val="24"/>
        </w:rPr>
        <w:t>各</w:t>
      </w:r>
      <w:r>
        <w:rPr>
          <w:rFonts w:hint="eastAsia" w:ascii="仿宋_GB2312" w:hAnsi="Times New Roman" w:eastAsia="仿宋_GB2312" w:cs="Arial"/>
          <w:kern w:val="2"/>
          <w:sz w:val="32"/>
          <w:szCs w:val="32"/>
          <w:lang w:val="en-US" w:eastAsia="zh-CN" w:bidi="ar-SA"/>
        </w:rPr>
        <w:t>部门协调联动。</w:t>
      </w:r>
    </w:p>
    <w:p w14:paraId="70B8D9DE">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本次项目服务内容为：构建覆盖省市共22个点位的信息化视讯协同业务服务系统。并提供相应运维服务，满足日常工作会议、远程培训、制度学习等工作需求，进一步通过信息化办公提升工作效率和加强各部门协调联动。</w:t>
      </w:r>
    </w:p>
    <w:p w14:paraId="13025499">
      <w:pPr>
        <w:pStyle w:val="15"/>
        <w:spacing w:line="480" w:lineRule="exact"/>
        <w:ind w:firstLine="640" w:firstLineChars="200"/>
        <w:rPr>
          <w:rFonts w:hint="eastAsia" w:ascii="仿宋_GB2312" w:hAnsi="Times New Roman" w:eastAsia="仿宋_GB2312" w:cs="Arial"/>
          <w:kern w:val="2"/>
          <w:sz w:val="32"/>
          <w:szCs w:val="32"/>
          <w:lang w:val="en-US" w:eastAsia="zh-CN" w:bidi="ar-SA"/>
        </w:rPr>
      </w:pPr>
    </w:p>
    <w:p w14:paraId="30A67BF1">
      <w:pPr>
        <w:pStyle w:val="4"/>
        <w:numPr>
          <w:ilvl w:val="1"/>
          <w:numId w:val="1"/>
        </w:numPr>
        <w:spacing w:before="120" w:after="120" w:line="415" w:lineRule="auto"/>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服务要求</w:t>
      </w:r>
    </w:p>
    <w:p w14:paraId="03944692">
      <w:pPr>
        <w:pStyle w:val="15"/>
        <w:spacing w:line="480" w:lineRule="exact"/>
        <w:rPr>
          <w:rFonts w:hint="eastAsia" w:ascii="仿宋_GB2312" w:hAnsi="Times New Roman" w:eastAsia="仿宋_GB2312" w:cs="Arial"/>
          <w:b/>
          <w:bCs/>
          <w:kern w:val="2"/>
          <w:sz w:val="32"/>
          <w:szCs w:val="32"/>
          <w:lang w:val="en-US" w:eastAsia="zh-CN" w:bidi="ar-SA"/>
        </w:rPr>
      </w:pPr>
      <w:r>
        <w:rPr>
          <w:rFonts w:hint="eastAsia" w:ascii="仿宋_GB2312" w:hAnsi="Times New Roman" w:eastAsia="仿宋_GB2312" w:cs="Arial"/>
          <w:b/>
          <w:bCs/>
          <w:kern w:val="2"/>
          <w:sz w:val="32"/>
          <w:szCs w:val="32"/>
          <w:lang w:val="en-US" w:eastAsia="zh-CN" w:bidi="ar-SA"/>
        </w:rPr>
        <w:t>1.2.1技术服务要求</w:t>
      </w:r>
    </w:p>
    <w:p w14:paraId="35941839">
      <w:pPr>
        <w:pStyle w:val="15"/>
        <w:spacing w:line="480" w:lineRule="exact"/>
        <w:rPr>
          <w:rFonts w:hint="eastAsia" w:ascii="仿宋_GB2312" w:hAnsi="Times New Roman" w:eastAsia="仿宋_GB2312" w:cs="Arial"/>
          <w:b/>
          <w:bCs/>
          <w:kern w:val="2"/>
          <w:sz w:val="32"/>
          <w:szCs w:val="32"/>
          <w:lang w:val="en-US" w:eastAsia="zh-CN" w:bidi="ar-SA"/>
        </w:rPr>
      </w:pPr>
      <w:r>
        <w:rPr>
          <w:rFonts w:hint="eastAsia" w:ascii="仿宋_GB2312" w:hAnsi="Times New Roman" w:eastAsia="仿宋_GB2312" w:cs="Arial"/>
          <w:b/>
          <w:bCs/>
          <w:kern w:val="2"/>
          <w:sz w:val="32"/>
          <w:szCs w:val="32"/>
          <w:lang w:val="en-US" w:eastAsia="zh-CN" w:bidi="ar-SA"/>
        </w:rPr>
        <w:t>1.2.1.1场景应用要求</w:t>
      </w:r>
    </w:p>
    <w:p w14:paraId="6DD59F26">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1.视频会议</w:t>
      </w:r>
    </w:p>
    <w:p w14:paraId="44FC989B">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所有会场的高清视频会议终端，可以通过云端视频会议平台集中召集（提供会议控制方式，由省级会场自由控制会议的邀请、召开、画面布局、结束等，通过电脑web登录会议界面即可），实现多方同时音视频互通，同时可以通过终端发送辅流（会议ppt，word文档等材料），在通过高清会议终端输出到显示屏上。</w:t>
      </w:r>
    </w:p>
    <w:p w14:paraId="05DF6D4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2.省、市之间互通</w:t>
      </w:r>
    </w:p>
    <w:p w14:paraId="7270BB6E">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省、市之间可以通过拨号的方式，直接进行音视频互通，例如成都市残联会议室可直接拨打绵阳市残联会议室号码，通过高清视讯终端实现双方音视频互通。每个会场也可通过WEB与小程序方式召集会议，自由灵活度高。</w:t>
      </w:r>
    </w:p>
    <w:p w14:paraId="785EF87E">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3.远程培训（双向互动）</w:t>
      </w:r>
    </w:p>
    <w:p w14:paraId="53F65F8E">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通过视讯会议系统，随时可以进行内部学习、文化教育、远程研讨等实时交互式的培训，提高远程培训的效率。视频、教材双向呈现，讲师、学员双向互动，把更多的业务内容以最快的速度传达到相关人员。</w:t>
      </w:r>
    </w:p>
    <w:p w14:paraId="387BD3B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4.系统建设要求</w:t>
      </w:r>
    </w:p>
    <w:p w14:paraId="4FB15175">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设计总体组网视频会议解决方案、提供设备、网络、平台服务与技术支持，使残联各级会场实现互通视频会议功能。</w:t>
      </w:r>
    </w:p>
    <w:p w14:paraId="7C65E011">
      <w:pPr>
        <w:pStyle w:val="15"/>
        <w:spacing w:line="480" w:lineRule="exact"/>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1.2.1.2系统设备部署要求</w:t>
      </w:r>
    </w:p>
    <w:p w14:paraId="7F44F5E0">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（一）部署设备清单</w:t>
      </w:r>
    </w:p>
    <w:tbl>
      <w:tblPr>
        <w:tblStyle w:val="12"/>
        <w:tblW w:w="8385" w:type="dxa"/>
        <w:tblInd w:w="13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315"/>
        <w:gridCol w:w="1211"/>
        <w:gridCol w:w="3733"/>
        <w:gridCol w:w="992"/>
        <w:gridCol w:w="1134"/>
      </w:tblGrid>
      <w:tr w14:paraId="1C6EA85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5" w:type="dxa"/>
            <w:tcBorders>
              <w:top w:val="single" w:color="000000" w:sz="4" w:space="0"/>
              <w:left w:val="single" w:color="000000" w:sz="4" w:space="0"/>
              <w:bottom w:val="single" w:color="auto" w:sz="4" w:space="0"/>
              <w:right w:val="single" w:color="000000" w:sz="4" w:space="0"/>
            </w:tcBorders>
            <w:tcMar>
              <w:top w:w="15" w:type="dxa"/>
              <w:left w:w="15" w:type="dxa"/>
              <w:bottom w:w="15" w:type="dxa"/>
              <w:right w:w="15" w:type="dxa"/>
            </w:tcMar>
            <w:vAlign w:val="center"/>
          </w:tcPr>
          <w:p w14:paraId="4CAF5E6C">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服务项目</w:t>
            </w:r>
          </w:p>
        </w:tc>
        <w:tc>
          <w:tcPr>
            <w:tcW w:w="1211" w:type="dxa"/>
            <w:tcBorders>
              <w:top w:val="single" w:color="000000" w:sz="4" w:space="0"/>
              <w:left w:val="nil"/>
              <w:bottom w:val="single" w:color="000000" w:sz="4" w:space="0"/>
              <w:right w:val="single" w:color="000000" w:sz="4" w:space="0"/>
            </w:tcBorders>
            <w:tcMar>
              <w:top w:w="15" w:type="dxa"/>
              <w:left w:w="15" w:type="dxa"/>
              <w:bottom w:w="15" w:type="dxa"/>
              <w:right w:w="15" w:type="dxa"/>
            </w:tcMar>
            <w:vAlign w:val="center"/>
          </w:tcPr>
          <w:p w14:paraId="1F439E17">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设备</w:t>
            </w:r>
          </w:p>
        </w:tc>
        <w:tc>
          <w:tcPr>
            <w:tcW w:w="3733" w:type="dxa"/>
            <w:tcBorders>
              <w:top w:val="single" w:color="000000" w:sz="4" w:space="0"/>
              <w:left w:val="nil"/>
              <w:bottom w:val="single" w:color="000000" w:sz="4" w:space="0"/>
              <w:right w:val="single" w:color="000000" w:sz="4" w:space="0"/>
            </w:tcBorders>
            <w:tcMar>
              <w:top w:w="15" w:type="dxa"/>
              <w:left w:w="15" w:type="dxa"/>
              <w:bottom w:w="15" w:type="dxa"/>
              <w:right w:w="15" w:type="dxa"/>
            </w:tcMar>
            <w:vAlign w:val="center"/>
          </w:tcPr>
          <w:p w14:paraId="49BE4866">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内容</w:t>
            </w:r>
          </w:p>
        </w:tc>
        <w:tc>
          <w:tcPr>
            <w:tcW w:w="992" w:type="dxa"/>
            <w:tcBorders>
              <w:top w:val="single" w:color="000000" w:sz="4" w:space="0"/>
              <w:left w:val="nil"/>
              <w:bottom w:val="single" w:color="000000" w:sz="4" w:space="0"/>
              <w:right w:val="single" w:color="000000" w:sz="4" w:space="0"/>
            </w:tcBorders>
            <w:tcMar>
              <w:top w:w="15" w:type="dxa"/>
              <w:left w:w="15" w:type="dxa"/>
              <w:bottom w:w="15" w:type="dxa"/>
              <w:right w:w="15" w:type="dxa"/>
            </w:tcMar>
            <w:vAlign w:val="center"/>
          </w:tcPr>
          <w:p w14:paraId="0D5D9AFC">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数量</w:t>
            </w:r>
          </w:p>
        </w:tc>
        <w:tc>
          <w:tcPr>
            <w:tcW w:w="1134" w:type="dxa"/>
            <w:tcBorders>
              <w:top w:val="single" w:color="000000" w:sz="4" w:space="0"/>
              <w:left w:val="nil"/>
              <w:bottom w:val="single" w:color="000000" w:sz="4" w:space="0"/>
              <w:right w:val="single" w:color="000000" w:sz="4" w:space="0"/>
            </w:tcBorders>
            <w:tcMar>
              <w:top w:w="15" w:type="dxa"/>
              <w:left w:w="15" w:type="dxa"/>
              <w:bottom w:w="15" w:type="dxa"/>
              <w:right w:w="15" w:type="dxa"/>
            </w:tcMar>
            <w:vAlign w:val="center"/>
          </w:tcPr>
          <w:p w14:paraId="4411379B">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单位</w:t>
            </w:r>
          </w:p>
        </w:tc>
      </w:tr>
      <w:tr w14:paraId="4D912FE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5" w:type="dxa"/>
            <w:vMerge w:val="restart"/>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1A62176">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会场设备</w:t>
            </w:r>
          </w:p>
        </w:tc>
        <w:tc>
          <w:tcPr>
            <w:tcW w:w="1211" w:type="dxa"/>
            <w:tcBorders>
              <w:top w:val="nil"/>
              <w:left w:val="single" w:color="auto" w:sz="4" w:space="0"/>
              <w:bottom w:val="single" w:color="000000" w:sz="4" w:space="0"/>
              <w:right w:val="single" w:color="000000" w:sz="4" w:space="0"/>
            </w:tcBorders>
            <w:tcMar>
              <w:top w:w="15" w:type="dxa"/>
              <w:left w:w="15" w:type="dxa"/>
              <w:bottom w:w="15" w:type="dxa"/>
              <w:right w:w="15" w:type="dxa"/>
            </w:tcMar>
            <w:vAlign w:val="center"/>
          </w:tcPr>
          <w:p w14:paraId="5DF0C1AE">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分体式高清会议终端</w:t>
            </w:r>
          </w:p>
        </w:tc>
        <w:tc>
          <w:tcPr>
            <w:tcW w:w="3733"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26DE95D3">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分体式会议终端主机，提供极致高清画面和宽频语音。支持双流1080P30fps高清视频及辅流效果；支持双屏同显/异显效果。</w:t>
            </w:r>
          </w:p>
        </w:tc>
        <w:tc>
          <w:tcPr>
            <w:tcW w:w="992" w:type="dxa"/>
            <w:tcBorders>
              <w:top w:val="nil"/>
              <w:left w:val="nil"/>
              <w:bottom w:val="single" w:color="000000" w:sz="4" w:space="0"/>
              <w:right w:val="single" w:color="000000" w:sz="4" w:space="0"/>
            </w:tcBorders>
            <w:shd w:val="clear" w:color="auto" w:fill="auto"/>
            <w:tcMar>
              <w:top w:w="15" w:type="dxa"/>
              <w:left w:w="15" w:type="dxa"/>
              <w:bottom w:w="15" w:type="dxa"/>
              <w:right w:w="15" w:type="dxa"/>
            </w:tcMar>
            <w:vAlign w:val="center"/>
          </w:tcPr>
          <w:p w14:paraId="1F2B0557">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22</w:t>
            </w:r>
          </w:p>
        </w:tc>
        <w:tc>
          <w:tcPr>
            <w:tcW w:w="1134"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3AC4ACAC">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台</w:t>
            </w:r>
          </w:p>
        </w:tc>
      </w:tr>
      <w:tr w14:paraId="52B3AC0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5" w:type="dxa"/>
            <w:vMerge w:val="continue"/>
            <w:tcBorders>
              <w:top w:val="single" w:color="auto" w:sz="4" w:space="0"/>
              <w:left w:val="single" w:color="auto" w:sz="4" w:space="0"/>
              <w:bottom w:val="single" w:color="auto" w:sz="4" w:space="0"/>
              <w:right w:val="single" w:color="auto" w:sz="4" w:space="0"/>
            </w:tcBorders>
            <w:vAlign w:val="center"/>
          </w:tcPr>
          <w:p w14:paraId="44E4E4E7">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p>
        </w:tc>
        <w:tc>
          <w:tcPr>
            <w:tcW w:w="1211" w:type="dxa"/>
            <w:tcBorders>
              <w:top w:val="nil"/>
              <w:left w:val="single" w:color="auto" w:sz="4" w:space="0"/>
              <w:bottom w:val="single" w:color="000000" w:sz="4" w:space="0"/>
              <w:right w:val="single" w:color="000000" w:sz="4" w:space="0"/>
            </w:tcBorders>
            <w:tcMar>
              <w:top w:w="15" w:type="dxa"/>
              <w:left w:w="15" w:type="dxa"/>
              <w:bottom w:w="15" w:type="dxa"/>
              <w:right w:w="15" w:type="dxa"/>
            </w:tcMar>
            <w:vAlign w:val="center"/>
          </w:tcPr>
          <w:p w14:paraId="3E382FF5">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会议高清</w:t>
            </w:r>
          </w:p>
          <w:p w14:paraId="564EEC66">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摄像头</w:t>
            </w:r>
          </w:p>
        </w:tc>
        <w:tc>
          <w:tcPr>
            <w:tcW w:w="3733"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3FF6CE4A">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12倍专业光学会议摄像机，超大机械云台转角。高品质CMOS传感器；72.5°超大无畸变广角。</w:t>
            </w:r>
          </w:p>
        </w:tc>
        <w:tc>
          <w:tcPr>
            <w:tcW w:w="992" w:type="dxa"/>
            <w:tcBorders>
              <w:top w:val="nil"/>
              <w:left w:val="nil"/>
              <w:bottom w:val="single" w:color="000000" w:sz="4" w:space="0"/>
              <w:right w:val="single" w:color="000000" w:sz="4" w:space="0"/>
            </w:tcBorders>
            <w:shd w:val="clear" w:color="auto" w:fill="auto"/>
            <w:tcMar>
              <w:top w:w="15" w:type="dxa"/>
              <w:left w:w="15" w:type="dxa"/>
              <w:bottom w:w="15" w:type="dxa"/>
              <w:right w:w="15" w:type="dxa"/>
            </w:tcMar>
            <w:vAlign w:val="center"/>
          </w:tcPr>
          <w:p w14:paraId="498DAA78">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22</w:t>
            </w:r>
          </w:p>
        </w:tc>
        <w:tc>
          <w:tcPr>
            <w:tcW w:w="1134"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6DB89473">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个</w:t>
            </w:r>
          </w:p>
        </w:tc>
      </w:tr>
      <w:tr w14:paraId="4CED935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5" w:type="dxa"/>
            <w:vMerge w:val="continue"/>
            <w:tcBorders>
              <w:top w:val="single" w:color="auto" w:sz="4" w:space="0"/>
              <w:left w:val="single" w:color="auto" w:sz="4" w:space="0"/>
              <w:bottom w:val="single" w:color="auto" w:sz="4" w:space="0"/>
              <w:right w:val="single" w:color="auto" w:sz="4" w:space="0"/>
            </w:tcBorders>
            <w:vAlign w:val="center"/>
          </w:tcPr>
          <w:p w14:paraId="26FD0132">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p>
        </w:tc>
        <w:tc>
          <w:tcPr>
            <w:tcW w:w="1211" w:type="dxa"/>
            <w:tcBorders>
              <w:top w:val="nil"/>
              <w:left w:val="single" w:color="auto" w:sz="4" w:space="0"/>
              <w:bottom w:val="single" w:color="000000" w:sz="4" w:space="0"/>
              <w:right w:val="single" w:color="000000" w:sz="4" w:space="0"/>
            </w:tcBorders>
            <w:tcMar>
              <w:top w:w="15" w:type="dxa"/>
              <w:left w:w="15" w:type="dxa"/>
              <w:bottom w:w="15" w:type="dxa"/>
              <w:right w:w="15" w:type="dxa"/>
            </w:tcMar>
            <w:vAlign w:val="center"/>
          </w:tcPr>
          <w:p w14:paraId="0EE7C2BF">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会议麦克风</w:t>
            </w:r>
          </w:p>
        </w:tc>
        <w:tc>
          <w:tcPr>
            <w:tcW w:w="3733"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5906AD8A">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2只UHF无线充电会议麦</w:t>
            </w:r>
          </w:p>
        </w:tc>
        <w:tc>
          <w:tcPr>
            <w:tcW w:w="992" w:type="dxa"/>
            <w:tcBorders>
              <w:top w:val="nil"/>
              <w:left w:val="nil"/>
              <w:bottom w:val="single" w:color="000000" w:sz="4" w:space="0"/>
              <w:right w:val="single" w:color="000000" w:sz="4" w:space="0"/>
            </w:tcBorders>
            <w:shd w:val="clear" w:color="auto" w:fill="auto"/>
            <w:tcMar>
              <w:top w:w="15" w:type="dxa"/>
              <w:left w:w="15" w:type="dxa"/>
              <w:bottom w:w="15" w:type="dxa"/>
              <w:right w:w="15" w:type="dxa"/>
            </w:tcMar>
            <w:vAlign w:val="center"/>
          </w:tcPr>
          <w:p w14:paraId="3A4FBB1B">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44</w:t>
            </w:r>
          </w:p>
        </w:tc>
        <w:tc>
          <w:tcPr>
            <w:tcW w:w="1134"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4C8292FD">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个</w:t>
            </w:r>
          </w:p>
        </w:tc>
      </w:tr>
      <w:tr w14:paraId="4260878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315"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156ACFF">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专线</w:t>
            </w:r>
          </w:p>
        </w:tc>
        <w:tc>
          <w:tcPr>
            <w:tcW w:w="1211" w:type="dxa"/>
            <w:tcBorders>
              <w:top w:val="nil"/>
              <w:left w:val="single" w:color="auto" w:sz="4" w:space="0"/>
              <w:bottom w:val="single" w:color="000000" w:sz="4" w:space="0"/>
              <w:right w:val="single" w:color="000000" w:sz="4" w:space="0"/>
            </w:tcBorders>
            <w:tcMar>
              <w:top w:w="15" w:type="dxa"/>
              <w:left w:w="15" w:type="dxa"/>
              <w:bottom w:w="15" w:type="dxa"/>
              <w:right w:w="15" w:type="dxa"/>
            </w:tcMar>
            <w:vAlign w:val="center"/>
          </w:tcPr>
          <w:p w14:paraId="5D48DE8A">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会议专线</w:t>
            </w:r>
          </w:p>
        </w:tc>
        <w:tc>
          <w:tcPr>
            <w:tcW w:w="3733" w:type="dxa"/>
            <w:tcBorders>
              <w:top w:val="nil"/>
              <w:left w:val="nil"/>
              <w:bottom w:val="single" w:color="000000" w:sz="4" w:space="0"/>
              <w:right w:val="single" w:color="000000" w:sz="4" w:space="0"/>
            </w:tcBorders>
            <w:shd w:val="clear" w:color="auto" w:fill="auto"/>
            <w:tcMar>
              <w:top w:w="15" w:type="dxa"/>
              <w:left w:w="15" w:type="dxa"/>
              <w:bottom w:w="15" w:type="dxa"/>
              <w:right w:w="15" w:type="dxa"/>
            </w:tcMar>
            <w:vAlign w:val="center"/>
          </w:tcPr>
          <w:p w14:paraId="38F76284">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不低于50M会议视讯专线</w:t>
            </w:r>
          </w:p>
        </w:tc>
        <w:tc>
          <w:tcPr>
            <w:tcW w:w="992" w:type="dxa"/>
            <w:tcBorders>
              <w:top w:val="nil"/>
              <w:left w:val="nil"/>
              <w:bottom w:val="single" w:color="000000" w:sz="4" w:space="0"/>
              <w:right w:val="single" w:color="000000" w:sz="4" w:space="0"/>
            </w:tcBorders>
            <w:shd w:val="clear" w:color="auto" w:fill="auto"/>
            <w:tcMar>
              <w:top w:w="15" w:type="dxa"/>
              <w:left w:w="15" w:type="dxa"/>
              <w:bottom w:w="15" w:type="dxa"/>
              <w:right w:w="15" w:type="dxa"/>
            </w:tcMar>
            <w:vAlign w:val="center"/>
          </w:tcPr>
          <w:p w14:paraId="04E00A9B">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22</w:t>
            </w:r>
          </w:p>
        </w:tc>
        <w:tc>
          <w:tcPr>
            <w:tcW w:w="1134" w:type="dxa"/>
            <w:tcBorders>
              <w:top w:val="nil"/>
              <w:left w:val="nil"/>
              <w:bottom w:val="single" w:color="000000" w:sz="4" w:space="0"/>
              <w:right w:val="single" w:color="000000" w:sz="4" w:space="0"/>
            </w:tcBorders>
            <w:tcMar>
              <w:top w:w="15" w:type="dxa"/>
              <w:left w:w="15" w:type="dxa"/>
              <w:bottom w:w="15" w:type="dxa"/>
              <w:right w:w="15" w:type="dxa"/>
            </w:tcMar>
            <w:vAlign w:val="center"/>
          </w:tcPr>
          <w:p w14:paraId="1D0EAA39">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条</w:t>
            </w:r>
          </w:p>
        </w:tc>
      </w:tr>
    </w:tbl>
    <w:p w14:paraId="5822B660">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（二）系统功能要求</w:t>
      </w:r>
    </w:p>
    <w:p w14:paraId="4050570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1.主叫呼集</w:t>
      </w:r>
    </w:p>
    <w:p w14:paraId="2B99361C">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会场操控人员可使用遥控器直接呼叫对方的号码（或从电话本选择呼叫），无需其他人协助，可以在任意一个终端会场，自主召集会议，不需要系统管理员协助。系统侧可实现无人值守，实现一键呼集，像打电话一样方便。</w:t>
      </w:r>
    </w:p>
    <w:p w14:paraId="097EEB9C">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2.呼叫落地</w:t>
      </w:r>
    </w:p>
    <w:p w14:paraId="6891FADB">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供应商提供的视频会议系统应支持呼叫落地具备良好的互通性。支持手机以语音/视频方式参与到视频会议中；支持无需安装客户端，手机直接以Volte视频方式与语音方式入会，进行音/视频混合组会。</w:t>
      </w:r>
    </w:p>
    <w:p w14:paraId="183D3B9F">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3.双流能力</w:t>
      </w:r>
    </w:p>
    <w:p w14:paraId="5382EECF">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终端支持双流能力，支持BFCP协议，辅流通过HDMI线，无需其他传输设备，同步传输音视频信号。</w:t>
      </w:r>
    </w:p>
    <w:p w14:paraId="080D3226">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4.会场轮播</w:t>
      </w:r>
    </w:p>
    <w:p w14:paraId="1DA27E6A">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系统支持轮询功能，可以设置需要轮询的顺序、时间等等，同时支持演讲者模式，固定画面模式，声控模式等多种模式，支持24分屏设置，支持会议中途会议延时设置。</w:t>
      </w:r>
    </w:p>
    <w:p w14:paraId="2B38E30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（三）配置与功能要求</w:t>
      </w:r>
    </w:p>
    <w:p w14:paraId="45AEB6A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供应商提供的分体式高清视频会议套件（或终端），分体式高清视频会议套件（或终端）应具备以下组件（最低满足）：12倍光学高清摄像机、无线充电麦克风、高清视频编解码等，且所提供产品均具有统一标识。</w:t>
      </w:r>
    </w:p>
    <w:p w14:paraId="04764378">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2.供应商提供相应的云端音视频处理平台，本地无需部署MCU或其他中央控制设备。</w:t>
      </w:r>
    </w:p>
    <w:p w14:paraId="7DF6ED1F">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3.供应商提供的会议管理平台应支持同时为多个会议提供服务，向多个会议提供会议管理、会议控制等功能。</w:t>
      </w:r>
    </w:p>
    <w:p w14:paraId="370C235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4.会议系统可通过访问会议管理平台、手机软终端、电脑软终端、微信小程序等来发起会议、进行会控。</w:t>
      </w:r>
    </w:p>
    <w:p w14:paraId="4002699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5.供应商提供的会议管理平台应支持视频会议音视频录像存储时间不少于180天。</w:t>
      </w:r>
    </w:p>
    <w:p w14:paraId="6222C798">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6.终端支持本地会议录制，支持USB口插入存储设备，实现本地会议的便捷录制；</w:t>
      </w:r>
    </w:p>
    <w:p w14:paraId="0C35ED90">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7.终端支持H.261、H.263、H.264、H.265等视频协议（需提供相关检测报告）；</w:t>
      </w:r>
    </w:p>
    <w:p w14:paraId="49D5690B">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8.终端支持AAC-LD、G.722、G.711a、G.711u、G.723.1、G.728、G.729、MPEG-4等音频协议（需提供相关检测报告）；</w:t>
      </w:r>
    </w:p>
    <w:p w14:paraId="205AF9CB">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9.供应商提供的视频会议系统应能支持不低于500个与会方（终端）同时参会，所有会场均能实现高清互通、整体联调；</w:t>
      </w:r>
    </w:p>
    <w:p w14:paraId="2909EE96">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10.支持终端会控功能，支持通过终端遥控器发起多方会议，并可进行会议中人员管理、混屏界面管理。</w:t>
      </w:r>
    </w:p>
    <w:p w14:paraId="4BAC051B">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11.供应商提供会议管理平台所需的相关设备，在自有机房进行存放和管理，非托管在第三方。</w:t>
      </w:r>
    </w:p>
    <w:p w14:paraId="38D3FD99">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12.本项目视频会议系统应支持会议控制功能：如开启、群挂、群体静音、禁言、点名等功能。</w:t>
      </w:r>
    </w:p>
    <w:p w14:paraId="421FC59F">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13.供应商提供的会议系统应支持短信通知与字幕显示，及高清视讯终端须提供中文会场名显示功能，用户可以轻松分辨出当前观看的是哪个会场</w:t>
      </w:r>
    </w:p>
    <w:p w14:paraId="43265A85">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14.供应商所投设备需支持无线电发射设备型号核准证（需提供相关证书复印件）。</w:t>
      </w:r>
    </w:p>
    <w:p w14:paraId="3FA817BA">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15.支持IPv4和IPv6双协议栈。</w:t>
      </w:r>
    </w:p>
    <w:p w14:paraId="0E4E0389">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16.支持一键自检功能，可定位故障原因</w:t>
      </w:r>
    </w:p>
    <w:p w14:paraId="1543B6C4">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17.供应商所提供的会议终端设备，须具备电信入网证书</w:t>
      </w:r>
    </w:p>
    <w:p w14:paraId="4967E341">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18.供应商所提供的会议终端设备，须具备CQC证书</w:t>
      </w:r>
    </w:p>
    <w:p w14:paraId="504DA9C7">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（四）网络要求</w:t>
      </w:r>
    </w:p>
    <w:p w14:paraId="08E5F0B9">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视讯系统作为一种新型的网络应用，须保障高清会议顺利进行。具体要求如下：</w:t>
      </w:r>
    </w:p>
    <w:p w14:paraId="56A2BB4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接入网要求：设计互联网专线/数据专线（上下行对称），以满足高清视讯需求；</w:t>
      </w:r>
    </w:p>
    <w:p w14:paraId="434D50B1">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带宽要求：最佳线路环境，各级会场专线均不低于独享20M 带宽。项目期内，保证带宽满足项目需要。如因带宽原因影响会议使用，需原资费升级带宽。</w:t>
      </w:r>
    </w:p>
    <w:p w14:paraId="6B786ED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传输要求：音频数据延时少于60 ms，抖动少于20%；视频数据延时少于200ms。网络丢包率少于1%；</w:t>
      </w:r>
    </w:p>
    <w:p w14:paraId="20B48D07">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防火墙要求：最佳要求，对视频会议设备权限全放开。最低要求，对视频会议所要求的端口范围开放，常连接时间设置足够长的时间甚至永久；</w:t>
      </w:r>
    </w:p>
    <w:p w14:paraId="0CCBD419">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（五）售后服务要求</w:t>
      </w:r>
    </w:p>
    <w:p w14:paraId="5A658A9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供应商除视频会议系统租赁外，还应提供相应的保障服务，确保合同有效期内视频会议系统正常运转。详细要求如下：</w:t>
      </w:r>
    </w:p>
    <w:p w14:paraId="32E70078">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（1）供应商提供的视频会议系统部署完成后，应组织专门技术人员对各终端使用人员进行集中培训。</w:t>
      </w:r>
    </w:p>
    <w:p w14:paraId="5E53C92B">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（2）供应商应提供远程故障排查：提供7*24小时的客户热线服务，在接到客户报修电话后立刻提供电话技术支持服务，并可以进行远程维护。</w:t>
      </w:r>
    </w:p>
    <w:p w14:paraId="0CFC596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3）供应商提供现场故障排查：如果不能通过电话支持服务和远程支持服务解决设备发生的技术故障，且经双方商议确认需要进行现场支持的情况下，供应商将派人赴现场协助用户排除故障。故障响应类型和级别要求如下：</w:t>
      </w:r>
    </w:p>
    <w:p w14:paraId="16596556">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一级故障：主要指设备在运行中出现系统瘫痪或服务中断，导致设备的基本功能不能实现或全面退化的故障。</w:t>
      </w:r>
    </w:p>
    <w:p w14:paraId="71E3C4B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二级故障：主要指设备在运行中出现的故障具有潜在的系统瘫痪或服务中断的危险，并可能导致设备的基本功能不能实现或全面退化。</w:t>
      </w:r>
    </w:p>
    <w:p w14:paraId="7175B8B8">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三级故障：主要指设备在运行中出现的直接影响服务，导致系统性能或服务部分退化的故障。</w:t>
      </w:r>
    </w:p>
    <w:p w14:paraId="716F203A">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四级故障：主要指设备在运行中出现的，断续或间接地影响系统功能和服务的故障。</w:t>
      </w:r>
    </w:p>
    <w:p w14:paraId="67CE4FB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p>
    <w:p w14:paraId="242AF521">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对每级故障，确定不同的现场响应时间：</w:t>
      </w:r>
    </w:p>
    <w:p w14:paraId="3D9741D6">
      <w:pPr>
        <w:pStyle w:val="15"/>
        <w:spacing w:line="480" w:lineRule="exact"/>
        <w:ind w:firstLine="640" w:firstLineChars="200"/>
        <w:rPr>
          <w:rFonts w:hint="eastAsia" w:ascii="仿宋_GB2312" w:hAnsi="Times New Roman" w:eastAsia="仿宋_GB2312" w:cs="Arial"/>
          <w:kern w:val="2"/>
          <w:sz w:val="32"/>
          <w:szCs w:val="32"/>
          <w:lang w:val="en-US" w:eastAsia="zh-CN" w:bidi="ar-SA"/>
        </w:rPr>
      </w:pPr>
    </w:p>
    <w:tbl>
      <w:tblPr>
        <w:tblStyle w:val="1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2090"/>
        <w:gridCol w:w="2551"/>
        <w:gridCol w:w="3828"/>
      </w:tblGrid>
      <w:tr w14:paraId="41BEB48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90" w:type="dxa"/>
            <w:tcBorders>
              <w:top w:val="single" w:color="000000" w:sz="4" w:space="0"/>
              <w:left w:val="single" w:color="000000" w:sz="4" w:space="0"/>
              <w:bottom w:val="single" w:color="000000" w:sz="4" w:space="0"/>
              <w:right w:val="single" w:color="000000" w:sz="4" w:space="0"/>
            </w:tcBorders>
            <w:shd w:val="clear" w:color="auto" w:fill="F1F1F1" w:themeFill="background1" w:themeFillShade="F2"/>
            <w:tcMar>
              <w:top w:w="0" w:type="dxa"/>
              <w:left w:w="105" w:type="dxa"/>
              <w:bottom w:w="0" w:type="dxa"/>
              <w:right w:w="105" w:type="dxa"/>
            </w:tcMar>
          </w:tcPr>
          <w:p w14:paraId="7AD42444">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故障级别</w:t>
            </w:r>
          </w:p>
        </w:tc>
        <w:tc>
          <w:tcPr>
            <w:tcW w:w="2551" w:type="dxa"/>
            <w:tcBorders>
              <w:top w:val="single" w:color="000000" w:sz="4" w:space="0"/>
              <w:left w:val="nil"/>
              <w:bottom w:val="single" w:color="000000" w:sz="4" w:space="0"/>
              <w:right w:val="single" w:color="000000" w:sz="4" w:space="0"/>
            </w:tcBorders>
            <w:shd w:val="clear" w:color="auto" w:fill="F1F1F1" w:themeFill="background1" w:themeFillShade="F2"/>
            <w:tcMar>
              <w:top w:w="0" w:type="dxa"/>
              <w:left w:w="105" w:type="dxa"/>
              <w:bottom w:w="0" w:type="dxa"/>
              <w:right w:w="105" w:type="dxa"/>
            </w:tcMar>
          </w:tcPr>
          <w:p w14:paraId="456B8CDE">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响应时间</w:t>
            </w:r>
          </w:p>
        </w:tc>
        <w:tc>
          <w:tcPr>
            <w:tcW w:w="3828" w:type="dxa"/>
            <w:tcBorders>
              <w:top w:val="single" w:color="000000" w:sz="4" w:space="0"/>
              <w:left w:val="nil"/>
              <w:bottom w:val="single" w:color="000000" w:sz="4" w:space="0"/>
              <w:right w:val="single" w:color="000000" w:sz="4" w:space="0"/>
            </w:tcBorders>
            <w:shd w:val="clear" w:color="auto" w:fill="F1F1F1" w:themeFill="background1" w:themeFillShade="F2"/>
            <w:tcMar>
              <w:top w:w="0" w:type="dxa"/>
              <w:left w:w="105" w:type="dxa"/>
              <w:bottom w:w="0" w:type="dxa"/>
              <w:right w:w="105" w:type="dxa"/>
            </w:tcMar>
          </w:tcPr>
          <w:p w14:paraId="40A5CA5F">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解决时间</w:t>
            </w:r>
          </w:p>
        </w:tc>
      </w:tr>
      <w:tr w14:paraId="0381AAF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90"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C37FE7E">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一级故障</w:t>
            </w:r>
          </w:p>
        </w:tc>
        <w:tc>
          <w:tcPr>
            <w:tcW w:w="2551" w:type="dxa"/>
            <w:tcBorders>
              <w:top w:val="nil"/>
              <w:left w:val="nil"/>
              <w:bottom w:val="single" w:color="000000" w:sz="4" w:space="0"/>
              <w:right w:val="single" w:color="000000" w:sz="4" w:space="0"/>
            </w:tcBorders>
            <w:tcMar>
              <w:top w:w="0" w:type="dxa"/>
              <w:left w:w="105" w:type="dxa"/>
              <w:bottom w:w="0" w:type="dxa"/>
              <w:right w:w="105" w:type="dxa"/>
            </w:tcMar>
          </w:tcPr>
          <w:p w14:paraId="4668863A">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立即</w:t>
            </w:r>
          </w:p>
        </w:tc>
        <w:tc>
          <w:tcPr>
            <w:tcW w:w="3828" w:type="dxa"/>
            <w:tcBorders>
              <w:top w:val="nil"/>
              <w:left w:val="nil"/>
              <w:bottom w:val="single" w:color="000000" w:sz="4" w:space="0"/>
              <w:right w:val="single" w:color="000000" w:sz="4" w:space="0"/>
            </w:tcBorders>
            <w:tcMar>
              <w:top w:w="0" w:type="dxa"/>
              <w:left w:w="105" w:type="dxa"/>
              <w:bottom w:w="0" w:type="dxa"/>
              <w:right w:w="105" w:type="dxa"/>
            </w:tcMar>
          </w:tcPr>
          <w:p w14:paraId="2282668D">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现场恢复时间≤4小时</w:t>
            </w:r>
          </w:p>
        </w:tc>
      </w:tr>
      <w:tr w14:paraId="79949D8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90"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E3DED5A">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二级故障</w:t>
            </w:r>
          </w:p>
        </w:tc>
        <w:tc>
          <w:tcPr>
            <w:tcW w:w="2551" w:type="dxa"/>
            <w:tcBorders>
              <w:top w:val="nil"/>
              <w:left w:val="nil"/>
              <w:bottom w:val="single" w:color="000000" w:sz="4" w:space="0"/>
              <w:right w:val="single" w:color="000000" w:sz="4" w:space="0"/>
            </w:tcBorders>
            <w:tcMar>
              <w:top w:w="0" w:type="dxa"/>
              <w:left w:w="105" w:type="dxa"/>
              <w:bottom w:w="0" w:type="dxa"/>
              <w:right w:w="105" w:type="dxa"/>
            </w:tcMar>
          </w:tcPr>
          <w:p w14:paraId="63CF3E63">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立即</w:t>
            </w:r>
          </w:p>
        </w:tc>
        <w:tc>
          <w:tcPr>
            <w:tcW w:w="3828" w:type="dxa"/>
            <w:tcBorders>
              <w:top w:val="nil"/>
              <w:left w:val="nil"/>
              <w:bottom w:val="single" w:color="000000" w:sz="4" w:space="0"/>
              <w:right w:val="single" w:color="000000" w:sz="4" w:space="0"/>
            </w:tcBorders>
            <w:tcMar>
              <w:top w:w="0" w:type="dxa"/>
              <w:left w:w="105" w:type="dxa"/>
              <w:bottom w:w="0" w:type="dxa"/>
              <w:right w:w="105" w:type="dxa"/>
            </w:tcMar>
          </w:tcPr>
          <w:p w14:paraId="3F9E1939">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现场恢复时间≤4小时</w:t>
            </w:r>
          </w:p>
        </w:tc>
      </w:tr>
      <w:tr w14:paraId="5E0C4E1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90"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2310873">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三级故障</w:t>
            </w:r>
          </w:p>
        </w:tc>
        <w:tc>
          <w:tcPr>
            <w:tcW w:w="2551" w:type="dxa"/>
            <w:tcBorders>
              <w:top w:val="nil"/>
              <w:left w:val="nil"/>
              <w:bottom w:val="single" w:color="000000" w:sz="4" w:space="0"/>
              <w:right w:val="single" w:color="000000" w:sz="4" w:space="0"/>
            </w:tcBorders>
            <w:tcMar>
              <w:top w:w="0" w:type="dxa"/>
              <w:left w:w="105" w:type="dxa"/>
              <w:bottom w:w="0" w:type="dxa"/>
              <w:right w:w="105" w:type="dxa"/>
            </w:tcMar>
          </w:tcPr>
          <w:p w14:paraId="45C5BEA4">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立即</w:t>
            </w:r>
          </w:p>
        </w:tc>
        <w:tc>
          <w:tcPr>
            <w:tcW w:w="3828" w:type="dxa"/>
            <w:tcBorders>
              <w:top w:val="nil"/>
              <w:left w:val="nil"/>
              <w:bottom w:val="single" w:color="000000" w:sz="4" w:space="0"/>
              <w:right w:val="single" w:color="000000" w:sz="4" w:space="0"/>
            </w:tcBorders>
            <w:tcMar>
              <w:top w:w="0" w:type="dxa"/>
              <w:left w:w="105" w:type="dxa"/>
              <w:bottom w:w="0" w:type="dxa"/>
              <w:right w:w="105" w:type="dxa"/>
            </w:tcMar>
          </w:tcPr>
          <w:p w14:paraId="7C9A7041">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现场恢复时间≤6小时</w:t>
            </w:r>
          </w:p>
        </w:tc>
      </w:tr>
      <w:tr w14:paraId="6A12FED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90"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7850B97">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四级故障</w:t>
            </w:r>
          </w:p>
        </w:tc>
        <w:tc>
          <w:tcPr>
            <w:tcW w:w="2551" w:type="dxa"/>
            <w:tcBorders>
              <w:top w:val="nil"/>
              <w:left w:val="nil"/>
              <w:bottom w:val="single" w:color="000000" w:sz="4" w:space="0"/>
              <w:right w:val="single" w:color="000000" w:sz="4" w:space="0"/>
            </w:tcBorders>
            <w:tcMar>
              <w:top w:w="0" w:type="dxa"/>
              <w:left w:w="105" w:type="dxa"/>
              <w:bottom w:w="0" w:type="dxa"/>
              <w:right w:w="105" w:type="dxa"/>
            </w:tcMar>
          </w:tcPr>
          <w:p w14:paraId="16A71220">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立即</w:t>
            </w:r>
          </w:p>
        </w:tc>
        <w:tc>
          <w:tcPr>
            <w:tcW w:w="3828" w:type="dxa"/>
            <w:tcBorders>
              <w:top w:val="nil"/>
              <w:left w:val="nil"/>
              <w:bottom w:val="single" w:color="000000" w:sz="4" w:space="0"/>
              <w:right w:val="single" w:color="000000" w:sz="4" w:space="0"/>
            </w:tcBorders>
            <w:tcMar>
              <w:top w:w="0" w:type="dxa"/>
              <w:left w:w="105" w:type="dxa"/>
              <w:bottom w:w="0" w:type="dxa"/>
              <w:right w:w="105" w:type="dxa"/>
            </w:tcMar>
          </w:tcPr>
          <w:p w14:paraId="274570F4">
            <w:pPr>
              <w:pStyle w:val="15"/>
              <w:keepNext w:val="0"/>
              <w:keepLines w:val="0"/>
              <w:pageBreakBefore w:val="0"/>
              <w:widowControl/>
              <w:kinsoku/>
              <w:wordWrap/>
              <w:overflowPunct/>
              <w:topLinePunct w:val="0"/>
              <w:autoSpaceDE/>
              <w:autoSpaceDN/>
              <w:bidi w:val="0"/>
              <w:adjustRightInd/>
              <w:snapToGrid/>
              <w:spacing w:line="480" w:lineRule="exact"/>
              <w:ind w:firstLine="0" w:firstLineChars="0"/>
              <w:jc w:val="center"/>
              <w:textAlignment w:val="auto"/>
              <w:rPr>
                <w:rFonts w:hint="eastAsia" w:ascii="仿宋_GB2312" w:hAnsi="Times New Roman" w:eastAsia="仿宋_GB2312" w:cs="Arial"/>
                <w:kern w:val="2"/>
                <w:sz w:val="28"/>
                <w:szCs w:val="28"/>
                <w:lang w:val="en-US" w:eastAsia="zh-CN" w:bidi="ar-SA"/>
              </w:rPr>
            </w:pPr>
            <w:r>
              <w:rPr>
                <w:rFonts w:hint="eastAsia" w:ascii="仿宋_GB2312" w:hAnsi="Times New Roman" w:eastAsia="仿宋_GB2312" w:cs="Arial"/>
                <w:kern w:val="2"/>
                <w:sz w:val="28"/>
                <w:szCs w:val="28"/>
                <w:lang w:val="en-US" w:eastAsia="zh-CN" w:bidi="ar-SA"/>
              </w:rPr>
              <w:t>现场恢复时间≤8小时</w:t>
            </w:r>
          </w:p>
        </w:tc>
      </w:tr>
    </w:tbl>
    <w:p w14:paraId="0220168D">
      <w:pPr>
        <w:pStyle w:val="15"/>
        <w:spacing w:line="480" w:lineRule="exact"/>
        <w:ind w:firstLine="640" w:firstLineChars="200"/>
        <w:rPr>
          <w:rFonts w:hint="eastAsia" w:ascii="仿宋_GB2312" w:hAnsi="Times New Roman" w:eastAsia="仿宋_GB2312" w:cs="Arial"/>
          <w:kern w:val="2"/>
          <w:sz w:val="32"/>
          <w:szCs w:val="32"/>
          <w:lang w:val="en-US" w:eastAsia="zh-CN" w:bidi="ar-SA"/>
        </w:rPr>
      </w:pPr>
    </w:p>
    <w:p w14:paraId="47C058F4">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对一、二级故障，供应商应组织技术专家保持跟进，技术人员在收到故障通知后，在提供远程服务的同时，从离故障现场最近的维修点乘坐最快交通工具在最短时间内赶赴现场对设备进行排障检修。</w:t>
      </w:r>
    </w:p>
    <w:p w14:paraId="405995E6">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对三、四级故障，并且该故障是由于软、硬件缺陷引起的，服务方通过软件升级或硬件返修进行解决，可视为已经响应。</w:t>
      </w:r>
    </w:p>
    <w:p w14:paraId="3ABBAB94">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会议终端定期（按季度）通过网管平台进行在线巡检，了解设备基础情况，进行终端软件版本维护更新。</w:t>
      </w:r>
    </w:p>
    <w:p w14:paraId="2EDBC8C3">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会议系统需要的传输电路和传输设备提供不定期运行质量测试服务。</w:t>
      </w:r>
    </w:p>
    <w:p w14:paraId="41182EC9">
      <w:pPr>
        <w:pStyle w:val="15"/>
        <w:spacing w:line="480" w:lineRule="exact"/>
        <w:ind w:firstLine="640" w:firstLineChars="200"/>
        <w:rPr>
          <w:rFonts w:hint="eastAsia" w:ascii="仿宋_GB2312" w:hAnsi="Times New Roman" w:eastAsia="仿宋_GB2312" w:cs="Arial"/>
          <w:kern w:val="2"/>
          <w:sz w:val="32"/>
          <w:szCs w:val="32"/>
          <w:lang w:val="en-US" w:eastAsia="zh-CN" w:bidi="ar-SA"/>
        </w:rPr>
      </w:pPr>
      <w:r>
        <w:rPr>
          <w:rFonts w:hint="eastAsia" w:ascii="仿宋_GB2312" w:hAnsi="Times New Roman" w:eastAsia="仿宋_GB2312" w:cs="Arial"/>
          <w:kern w:val="2"/>
          <w:sz w:val="32"/>
          <w:szCs w:val="32"/>
          <w:lang w:val="en-US" w:eastAsia="zh-CN" w:bidi="ar-SA"/>
        </w:rPr>
        <w:t>其他未尽事宜，签订合同时双方协商确定。</w:t>
      </w:r>
    </w:p>
    <w:p w14:paraId="67FB4764">
      <w:pPr>
        <w:pStyle w:val="15"/>
        <w:keepNext w:val="0"/>
        <w:keepLines w:val="0"/>
        <w:pageBreakBefore w:val="0"/>
        <w:widowControl/>
        <w:kinsoku/>
        <w:wordWrap/>
        <w:overflowPunct/>
        <w:topLinePunct w:val="0"/>
        <w:autoSpaceDE/>
        <w:autoSpaceDN/>
        <w:bidi w:val="0"/>
        <w:adjustRightInd/>
        <w:snapToGrid/>
        <w:spacing w:line="480" w:lineRule="exact"/>
        <w:ind w:firstLine="640" w:firstLineChars="200"/>
        <w:jc w:val="center"/>
        <w:textAlignment w:val="auto"/>
        <w:rPr>
          <w:rFonts w:hint="eastAsia" w:ascii="仿宋_GB2312" w:hAnsi="Times New Roman" w:eastAsia="仿宋_GB2312" w:cs="Arial"/>
          <w:kern w:val="2"/>
          <w:sz w:val="32"/>
          <w:szCs w:val="32"/>
          <w:lang w:val="en-US" w:eastAsia="zh-CN" w:bidi="ar-SA"/>
        </w:rPr>
      </w:pPr>
    </w:p>
    <w:p w14:paraId="1FDE610F">
      <w:pPr>
        <w:pStyle w:val="15"/>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黑体" w:hAnsi="黑体" w:eastAsia="黑体" w:cs="黑体"/>
          <w:kern w:val="2"/>
          <w:sz w:val="40"/>
          <w:szCs w:val="40"/>
          <w:lang w:val="en-US" w:eastAsia="zh-CN" w:bidi="ar-SA"/>
        </w:rPr>
      </w:pPr>
      <w:r>
        <w:rPr>
          <w:rFonts w:hint="eastAsia" w:ascii="黑体" w:hAnsi="黑体" w:eastAsia="黑体" w:cs="黑体"/>
          <w:kern w:val="2"/>
          <w:sz w:val="40"/>
          <w:szCs w:val="40"/>
          <w:lang w:val="en-US" w:eastAsia="zh-CN" w:bidi="ar-SA"/>
        </w:rPr>
        <w:t>评分标准</w:t>
      </w:r>
    </w:p>
    <w:tbl>
      <w:tblPr>
        <w:tblStyle w:val="12"/>
        <w:tblW w:w="0" w:type="auto"/>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shd w:val="clear" w:color="auto" w:fill="auto"/>
        <w:tblLayout w:type="fixed"/>
        <w:tblCellMar>
          <w:top w:w="0" w:type="dxa"/>
          <w:left w:w="108" w:type="dxa"/>
          <w:bottom w:w="0" w:type="dxa"/>
          <w:right w:w="108" w:type="dxa"/>
        </w:tblCellMar>
      </w:tblPr>
      <w:tblGrid>
        <w:gridCol w:w="1312"/>
        <w:gridCol w:w="3589"/>
        <w:gridCol w:w="779"/>
        <w:gridCol w:w="1534"/>
        <w:gridCol w:w="1230"/>
      </w:tblGrid>
      <w:tr w14:paraId="5EB2B3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shd w:val="clear" w:color="auto" w:fill="auto"/>
          <w:tblCellMar>
            <w:top w:w="0" w:type="dxa"/>
            <w:left w:w="108" w:type="dxa"/>
            <w:bottom w:w="0" w:type="dxa"/>
            <w:right w:w="108" w:type="dxa"/>
          </w:tblCellMar>
        </w:tblPrEx>
        <w:trPr>
          <w:jc w:val="center"/>
        </w:trPr>
        <w:tc>
          <w:tcPr>
            <w:tcW w:w="1312" w:type="dxa"/>
            <w:shd w:val="clear" w:color="auto" w:fill="auto"/>
            <w:vAlign w:val="center"/>
          </w:tcPr>
          <w:p w14:paraId="13CD8109">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黑体" w:hAnsi="黑体" w:eastAsia="黑体" w:cs="黑体"/>
                <w:kern w:val="2"/>
                <w:sz w:val="24"/>
                <w:szCs w:val="24"/>
                <w:lang w:val="en-US" w:eastAsia="zh-CN" w:bidi="ar-SA"/>
              </w:rPr>
            </w:pPr>
            <w:r>
              <w:rPr>
                <w:rFonts w:hint="eastAsia" w:ascii="黑体" w:hAnsi="黑体" w:eastAsia="黑体" w:cs="黑体"/>
                <w:kern w:val="2"/>
                <w:sz w:val="24"/>
                <w:szCs w:val="24"/>
                <w:lang w:val="en-US" w:eastAsia="zh-CN" w:bidi="ar-SA"/>
              </w:rPr>
              <w:t>评审项</w:t>
            </w:r>
          </w:p>
        </w:tc>
        <w:tc>
          <w:tcPr>
            <w:tcW w:w="3589" w:type="dxa"/>
            <w:shd w:val="clear" w:color="auto" w:fill="auto"/>
            <w:vAlign w:val="center"/>
          </w:tcPr>
          <w:p w14:paraId="6C843FA6">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黑体" w:hAnsi="黑体" w:eastAsia="黑体" w:cs="黑体"/>
                <w:kern w:val="2"/>
                <w:sz w:val="24"/>
                <w:szCs w:val="24"/>
                <w:lang w:val="en-US" w:eastAsia="zh-CN" w:bidi="ar-SA"/>
              </w:rPr>
            </w:pPr>
            <w:r>
              <w:rPr>
                <w:rFonts w:hint="eastAsia" w:ascii="黑体" w:hAnsi="黑体" w:eastAsia="黑体" w:cs="黑体"/>
                <w:kern w:val="2"/>
                <w:sz w:val="24"/>
                <w:szCs w:val="24"/>
                <w:lang w:val="en-US" w:eastAsia="zh-CN" w:bidi="ar-SA"/>
              </w:rPr>
              <w:t>详细描述</w:t>
            </w:r>
          </w:p>
        </w:tc>
        <w:tc>
          <w:tcPr>
            <w:tcW w:w="779" w:type="dxa"/>
            <w:shd w:val="clear" w:color="auto" w:fill="auto"/>
            <w:vAlign w:val="center"/>
          </w:tcPr>
          <w:p w14:paraId="499E1757">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黑体" w:hAnsi="黑体" w:eastAsia="黑体" w:cs="黑体"/>
                <w:kern w:val="2"/>
                <w:sz w:val="24"/>
                <w:szCs w:val="24"/>
                <w:lang w:val="en-US" w:eastAsia="zh-CN" w:bidi="ar-SA"/>
              </w:rPr>
            </w:pPr>
            <w:r>
              <w:rPr>
                <w:rFonts w:hint="eastAsia" w:ascii="黑体" w:hAnsi="黑体" w:eastAsia="黑体" w:cs="黑体"/>
                <w:kern w:val="2"/>
                <w:sz w:val="24"/>
                <w:szCs w:val="24"/>
                <w:lang w:val="en-US" w:eastAsia="zh-CN" w:bidi="ar-SA"/>
              </w:rPr>
              <w:t>分值</w:t>
            </w:r>
          </w:p>
        </w:tc>
        <w:tc>
          <w:tcPr>
            <w:tcW w:w="1534" w:type="dxa"/>
            <w:shd w:val="clear" w:color="auto" w:fill="auto"/>
            <w:vAlign w:val="center"/>
          </w:tcPr>
          <w:p w14:paraId="5789C912">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黑体" w:hAnsi="黑体" w:eastAsia="黑体" w:cs="黑体"/>
                <w:kern w:val="2"/>
                <w:sz w:val="24"/>
                <w:szCs w:val="24"/>
                <w:lang w:val="en-US" w:eastAsia="zh-CN" w:bidi="ar-SA"/>
              </w:rPr>
            </w:pPr>
            <w:r>
              <w:rPr>
                <w:rFonts w:hint="eastAsia" w:ascii="黑体" w:hAnsi="黑体" w:eastAsia="黑体" w:cs="黑体"/>
                <w:kern w:val="2"/>
                <w:sz w:val="24"/>
                <w:szCs w:val="24"/>
                <w:lang w:val="en-US" w:eastAsia="zh-CN" w:bidi="ar-SA"/>
              </w:rPr>
              <w:t>客观/主观</w:t>
            </w:r>
          </w:p>
        </w:tc>
        <w:tc>
          <w:tcPr>
            <w:tcW w:w="1230" w:type="dxa"/>
            <w:shd w:val="clear" w:color="auto" w:fill="auto"/>
            <w:vAlign w:val="center"/>
          </w:tcPr>
          <w:p w14:paraId="32B8176D">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黑体" w:hAnsi="黑体" w:eastAsia="黑体" w:cs="黑体"/>
                <w:kern w:val="2"/>
                <w:sz w:val="24"/>
                <w:szCs w:val="24"/>
                <w:lang w:val="en-US" w:eastAsia="zh-CN" w:bidi="ar-SA"/>
              </w:rPr>
            </w:pPr>
            <w:r>
              <w:rPr>
                <w:rFonts w:hint="eastAsia" w:ascii="黑体" w:hAnsi="黑体" w:eastAsia="黑体" w:cs="黑体"/>
                <w:kern w:val="2"/>
                <w:sz w:val="24"/>
                <w:szCs w:val="24"/>
                <w:lang w:val="en-US" w:eastAsia="zh-CN" w:bidi="ar-SA"/>
              </w:rPr>
              <w:t>关联格式</w:t>
            </w:r>
          </w:p>
        </w:tc>
      </w:tr>
      <w:tr w14:paraId="4FFC2D7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shd w:val="clear" w:color="auto" w:fill="auto"/>
          <w:tblCellMar>
            <w:top w:w="0" w:type="dxa"/>
            <w:left w:w="108" w:type="dxa"/>
            <w:bottom w:w="0" w:type="dxa"/>
            <w:right w:w="108" w:type="dxa"/>
          </w:tblCellMar>
        </w:tblPrEx>
        <w:trPr>
          <w:jc w:val="center"/>
        </w:trPr>
        <w:tc>
          <w:tcPr>
            <w:tcW w:w="1312" w:type="dxa"/>
            <w:shd w:val="clear" w:color="auto" w:fill="auto"/>
            <w:vAlign w:val="center"/>
          </w:tcPr>
          <w:p w14:paraId="0EBFB347">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技术要求</w:t>
            </w:r>
          </w:p>
        </w:tc>
        <w:tc>
          <w:tcPr>
            <w:tcW w:w="3589" w:type="dxa"/>
            <w:shd w:val="clear" w:color="auto" w:fill="auto"/>
            <w:vAlign w:val="center"/>
          </w:tcPr>
          <w:p w14:paraId="21EE43C3">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完全符合采购文件技术要求，没有负偏离，得30分；需按要求提供证明材料，参数不满足或负偏离每项扣2分；扣完为止。</w:t>
            </w:r>
          </w:p>
        </w:tc>
        <w:tc>
          <w:tcPr>
            <w:tcW w:w="779" w:type="dxa"/>
            <w:shd w:val="clear" w:color="auto" w:fill="auto"/>
            <w:vAlign w:val="center"/>
          </w:tcPr>
          <w:p w14:paraId="35DC29F8">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default"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20</w:t>
            </w:r>
          </w:p>
        </w:tc>
        <w:tc>
          <w:tcPr>
            <w:tcW w:w="1534" w:type="dxa"/>
            <w:shd w:val="clear" w:color="auto" w:fill="auto"/>
            <w:vAlign w:val="center"/>
          </w:tcPr>
          <w:p w14:paraId="5ADC07F0">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客观</w:t>
            </w:r>
          </w:p>
        </w:tc>
        <w:tc>
          <w:tcPr>
            <w:tcW w:w="1230" w:type="dxa"/>
            <w:shd w:val="clear" w:color="auto" w:fill="auto"/>
            <w:vAlign w:val="center"/>
          </w:tcPr>
          <w:p w14:paraId="2E7194BE">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应答表</w:t>
            </w:r>
          </w:p>
          <w:p w14:paraId="358ADE51">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其它证明材料</w:t>
            </w:r>
          </w:p>
        </w:tc>
      </w:tr>
      <w:tr w14:paraId="75E5E9C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shd w:val="clear" w:color="auto" w:fill="auto"/>
          <w:tblCellMar>
            <w:top w:w="0" w:type="dxa"/>
            <w:left w:w="108" w:type="dxa"/>
            <w:bottom w:w="0" w:type="dxa"/>
            <w:right w:w="108" w:type="dxa"/>
          </w:tblCellMar>
        </w:tblPrEx>
        <w:trPr>
          <w:jc w:val="center"/>
        </w:trPr>
        <w:tc>
          <w:tcPr>
            <w:tcW w:w="1312" w:type="dxa"/>
            <w:shd w:val="clear" w:color="auto" w:fill="auto"/>
            <w:vAlign w:val="center"/>
          </w:tcPr>
          <w:p w14:paraId="15D43806">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平台成熟度要求</w:t>
            </w:r>
          </w:p>
        </w:tc>
        <w:tc>
          <w:tcPr>
            <w:tcW w:w="3589" w:type="dxa"/>
            <w:shd w:val="clear" w:color="auto" w:fill="auto"/>
            <w:vAlign w:val="center"/>
          </w:tcPr>
          <w:p w14:paraId="1C6F744A">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1.供应商所提供的会议系统平台为自建自有业务平台，非第三方平台，提相关证明。提供得3分，不提供不得分；</w:t>
            </w:r>
          </w:p>
          <w:p w14:paraId="25CE260C">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2.供应商所提供的会议系统平台为成熟商用产品，首次商用时间须不少于3年。提供相关证明得3分，不提供不得分；</w:t>
            </w:r>
          </w:p>
          <w:p w14:paraId="3E936449">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3.供应商所提供的会议系统平台拥有自主知识产权，提供计算机软件著作权登记证书证明。提供得3分，不提供不得分；</w:t>
            </w:r>
          </w:p>
          <w:p w14:paraId="417DD128">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4.供应商所提供的会议系统平台符合网络安全等级测评的安全保护等级第三级要求(提供测评报告复印件并加盖供应商公章)。提供得3分，不提供不得分；</w:t>
            </w:r>
          </w:p>
          <w:p w14:paraId="70132E4D">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5.供应商所提供的会议系统平台具备媒体播报功能，拥有自主知识产权，提供计算机软件著作权登记证书证明。提供得3分，不提供不得分；</w:t>
            </w:r>
          </w:p>
        </w:tc>
        <w:tc>
          <w:tcPr>
            <w:tcW w:w="779" w:type="dxa"/>
            <w:shd w:val="clear" w:color="auto" w:fill="auto"/>
            <w:vAlign w:val="center"/>
          </w:tcPr>
          <w:p w14:paraId="5314E8ED">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15</w:t>
            </w:r>
          </w:p>
        </w:tc>
        <w:tc>
          <w:tcPr>
            <w:tcW w:w="1534" w:type="dxa"/>
            <w:shd w:val="clear" w:color="auto" w:fill="auto"/>
            <w:vAlign w:val="center"/>
          </w:tcPr>
          <w:p w14:paraId="5C886255">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客观</w:t>
            </w:r>
          </w:p>
        </w:tc>
        <w:tc>
          <w:tcPr>
            <w:tcW w:w="1230" w:type="dxa"/>
            <w:shd w:val="clear" w:color="auto" w:fill="auto"/>
            <w:vAlign w:val="center"/>
          </w:tcPr>
          <w:p w14:paraId="7A77DB9B">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其它证明材料</w:t>
            </w:r>
          </w:p>
        </w:tc>
      </w:tr>
      <w:tr w14:paraId="700D6C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312" w:type="dxa"/>
            <w:shd w:val="clear" w:color="auto" w:fill="auto"/>
            <w:vAlign w:val="center"/>
          </w:tcPr>
          <w:p w14:paraId="3CCE9C15">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技术方案</w:t>
            </w:r>
          </w:p>
        </w:tc>
        <w:tc>
          <w:tcPr>
            <w:tcW w:w="3589" w:type="dxa"/>
            <w:shd w:val="clear" w:color="auto" w:fill="auto"/>
            <w:vAlign w:val="center"/>
          </w:tcPr>
          <w:p w14:paraId="096E7AC2">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据供应商提供的项目整体方案进行综合评比，项目实施方案包含以下5点，能完全符合本次项目采购任务，充分理解和把握此次采购项目的核心内容和重点目标。1、有完善的项目质量保障措施；2、有合理的项目组织管理；3、有整体系统调试方案；4、有合理的工期保证措施；5、项目实施整体思路和施工方案。在满足以上5点的基础上，方案完善，表述清晰明确，具有可实施性得18分，服务方案合理，表述一般得12分，方案基本满足要求得6分，不满足或者未提供不得分。</w:t>
            </w:r>
          </w:p>
        </w:tc>
        <w:tc>
          <w:tcPr>
            <w:tcW w:w="779" w:type="dxa"/>
            <w:shd w:val="clear" w:color="auto" w:fill="auto"/>
            <w:vAlign w:val="center"/>
          </w:tcPr>
          <w:p w14:paraId="3516B313">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18</w:t>
            </w:r>
          </w:p>
        </w:tc>
        <w:tc>
          <w:tcPr>
            <w:tcW w:w="1534" w:type="dxa"/>
            <w:shd w:val="clear" w:color="auto" w:fill="auto"/>
            <w:vAlign w:val="center"/>
          </w:tcPr>
          <w:p w14:paraId="0033CADC">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主观</w:t>
            </w:r>
          </w:p>
        </w:tc>
        <w:tc>
          <w:tcPr>
            <w:tcW w:w="1230" w:type="dxa"/>
            <w:shd w:val="clear" w:color="auto" w:fill="auto"/>
            <w:vAlign w:val="center"/>
          </w:tcPr>
          <w:p w14:paraId="390EF949">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其它证明材料</w:t>
            </w:r>
          </w:p>
        </w:tc>
      </w:tr>
      <w:tr w14:paraId="1EB79B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312" w:type="dxa"/>
            <w:shd w:val="clear" w:color="auto" w:fill="auto"/>
            <w:vAlign w:val="center"/>
          </w:tcPr>
          <w:p w14:paraId="61D624ED">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履约能力</w:t>
            </w:r>
          </w:p>
        </w:tc>
        <w:tc>
          <w:tcPr>
            <w:tcW w:w="3589" w:type="dxa"/>
            <w:shd w:val="clear" w:color="auto" w:fill="auto"/>
            <w:vAlign w:val="center"/>
          </w:tcPr>
          <w:p w14:paraId="0D0A48B1">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供应商（包括其分公司）提供2021年1月1日（含）以来省内类似单项目达200个及以上会场的项目案例（合同中至少包含视频会议系统建设或租赁服务），每提供一个得3分，本项最多得9分。（提供合同复印件，加盖供应商公章。）</w:t>
            </w:r>
          </w:p>
        </w:tc>
        <w:tc>
          <w:tcPr>
            <w:tcW w:w="779" w:type="dxa"/>
            <w:shd w:val="clear" w:color="auto" w:fill="auto"/>
            <w:vAlign w:val="center"/>
          </w:tcPr>
          <w:p w14:paraId="564285DA">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9</w:t>
            </w:r>
          </w:p>
        </w:tc>
        <w:tc>
          <w:tcPr>
            <w:tcW w:w="1534" w:type="dxa"/>
            <w:shd w:val="clear" w:color="auto" w:fill="auto"/>
            <w:vAlign w:val="center"/>
          </w:tcPr>
          <w:p w14:paraId="292FB251">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客观</w:t>
            </w:r>
          </w:p>
        </w:tc>
        <w:tc>
          <w:tcPr>
            <w:tcW w:w="1230" w:type="dxa"/>
            <w:shd w:val="clear" w:color="auto" w:fill="auto"/>
            <w:vAlign w:val="center"/>
          </w:tcPr>
          <w:p w14:paraId="52F3B8FA">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商务应答表</w:t>
            </w:r>
          </w:p>
        </w:tc>
      </w:tr>
      <w:tr w14:paraId="71DC82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shd w:val="clear" w:color="auto" w:fill="auto"/>
          <w:tblCellMar>
            <w:top w:w="0" w:type="dxa"/>
            <w:left w:w="108" w:type="dxa"/>
            <w:bottom w:w="0" w:type="dxa"/>
            <w:right w:w="108" w:type="dxa"/>
          </w:tblCellMar>
        </w:tblPrEx>
        <w:trPr>
          <w:jc w:val="center"/>
        </w:trPr>
        <w:tc>
          <w:tcPr>
            <w:tcW w:w="1312" w:type="dxa"/>
            <w:shd w:val="clear" w:color="auto" w:fill="auto"/>
            <w:vAlign w:val="center"/>
          </w:tcPr>
          <w:p w14:paraId="36E9091B">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售后服务保障</w:t>
            </w:r>
          </w:p>
        </w:tc>
        <w:tc>
          <w:tcPr>
            <w:tcW w:w="3589" w:type="dxa"/>
            <w:shd w:val="clear" w:color="auto" w:fill="auto"/>
            <w:vAlign w:val="center"/>
          </w:tcPr>
          <w:p w14:paraId="1191DCA1">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为了项目可靠的全方面实施，须在四川省的省、市（州）两级设立有服务网点（需覆盖全省至少21个市/州，并提供派驻机构营业执照复印件或场地租赁合同复印件，并加盖供应商鲜章）。全部提供得10分，未提供或提供不全不得分。</w:t>
            </w:r>
          </w:p>
        </w:tc>
        <w:tc>
          <w:tcPr>
            <w:tcW w:w="779" w:type="dxa"/>
            <w:shd w:val="clear" w:color="auto" w:fill="auto"/>
            <w:vAlign w:val="center"/>
          </w:tcPr>
          <w:p w14:paraId="242D6DC2">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10</w:t>
            </w:r>
          </w:p>
        </w:tc>
        <w:tc>
          <w:tcPr>
            <w:tcW w:w="1534" w:type="dxa"/>
            <w:shd w:val="clear" w:color="auto" w:fill="auto"/>
            <w:vAlign w:val="center"/>
          </w:tcPr>
          <w:p w14:paraId="4CE2B2A4">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客观</w:t>
            </w:r>
          </w:p>
        </w:tc>
        <w:tc>
          <w:tcPr>
            <w:tcW w:w="1230" w:type="dxa"/>
            <w:shd w:val="clear" w:color="auto" w:fill="auto"/>
            <w:vAlign w:val="center"/>
          </w:tcPr>
          <w:p w14:paraId="48DCD37A">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其它证明材料</w:t>
            </w:r>
          </w:p>
        </w:tc>
      </w:tr>
      <w:tr w14:paraId="3110E6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312" w:type="dxa"/>
            <w:shd w:val="clear" w:color="auto" w:fill="auto"/>
            <w:vAlign w:val="center"/>
          </w:tcPr>
          <w:p w14:paraId="79AAE308">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人员配置</w:t>
            </w:r>
          </w:p>
        </w:tc>
        <w:tc>
          <w:tcPr>
            <w:tcW w:w="3589" w:type="dxa"/>
            <w:shd w:val="clear" w:color="auto" w:fill="auto"/>
            <w:vAlign w:val="center"/>
          </w:tcPr>
          <w:p w14:paraId="62BC2E7F">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1.供应商具有有效的信息安全管理体系认证得2分、信息技术服务管理体系认证证书得2分，最多得4分。（供应商提供证书复印件加盖供应商公章佐证得分，未提供不得分）；</w:t>
            </w:r>
          </w:p>
          <w:p w14:paraId="484C3E60">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2.供应商拟派本项目的项目经理（1人）：</w:t>
            </w:r>
          </w:p>
          <w:p w14:paraId="201BE4DB">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同时具备①人社部和工信部颁发的中级或以上互联网技术通信专业技术人员职业资格证②人社部和工信部颁发的计算机技术与软件专业技术资格-网络工程师（中级或以上）证书③注册信息安全专业人员证书（CISP）。④工业和信息化部教育与考试中心颁发的网络与信息安全管理师（初级或以上）证书⑤国家互联网应急中心颁发的网络安全能力认证-网络安全技术（一级或以上）证书。每具备一项得1.5分，本项最高得7.5分。</w:t>
            </w:r>
          </w:p>
          <w:p w14:paraId="50633C13">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3.供应商拟派本项目技术负责人（共1人）:</w:t>
            </w:r>
          </w:p>
          <w:p w14:paraId="094F767C">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同时具备①中国电子技术标准化研究院颁发的IT服务项目经理(ITSS)证书②中国信息安全测评中心颁发的CISP(注册信息安全管理人员)证书③工信部软件与集成电路促进中心颁发的网络安全高级工程师证书，每提供一项得1.5分，最多得4.5分。(提供人员在职证明材料及证书复印件并加盖供应商公章)</w:t>
            </w:r>
          </w:p>
          <w:p w14:paraId="6C58CD4C">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4.供应商拟派本项目团队成员（项目经理除外）：每有一名团队成员具备通信相关专业高级职称的得1分，每有一名团队成员具备通信相关专业中级职称的得0.5分，本项最高得2分。(注：提供对应人员的在职证明材料、有效期内的证书复印件并加盖供应商公章。按照“就高不就低”的原则，同一人员不重复计分。)</w:t>
            </w:r>
          </w:p>
        </w:tc>
        <w:tc>
          <w:tcPr>
            <w:tcW w:w="779" w:type="dxa"/>
            <w:shd w:val="clear" w:color="auto" w:fill="auto"/>
            <w:vAlign w:val="center"/>
          </w:tcPr>
          <w:p w14:paraId="269731BD">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18</w:t>
            </w:r>
          </w:p>
        </w:tc>
        <w:tc>
          <w:tcPr>
            <w:tcW w:w="1534" w:type="dxa"/>
            <w:shd w:val="clear" w:color="auto" w:fill="auto"/>
            <w:vAlign w:val="center"/>
          </w:tcPr>
          <w:p w14:paraId="75A08420">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客观</w:t>
            </w:r>
          </w:p>
        </w:tc>
        <w:tc>
          <w:tcPr>
            <w:tcW w:w="1230" w:type="dxa"/>
            <w:shd w:val="clear" w:color="auto" w:fill="auto"/>
            <w:vAlign w:val="center"/>
          </w:tcPr>
          <w:p w14:paraId="4FFC4E32">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其它证明材料</w:t>
            </w:r>
          </w:p>
        </w:tc>
      </w:tr>
      <w:tr w14:paraId="4184D96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shd w:val="clear" w:color="auto" w:fill="auto"/>
          <w:tblCellMar>
            <w:top w:w="0" w:type="dxa"/>
            <w:left w:w="108" w:type="dxa"/>
            <w:bottom w:w="0" w:type="dxa"/>
            <w:right w:w="108" w:type="dxa"/>
          </w:tblCellMar>
        </w:tblPrEx>
        <w:trPr>
          <w:jc w:val="center"/>
        </w:trPr>
        <w:tc>
          <w:tcPr>
            <w:tcW w:w="1312" w:type="dxa"/>
            <w:shd w:val="clear" w:color="auto" w:fill="auto"/>
            <w:vAlign w:val="center"/>
          </w:tcPr>
          <w:p w14:paraId="7FB763FE">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价格分</w:t>
            </w:r>
          </w:p>
        </w:tc>
        <w:tc>
          <w:tcPr>
            <w:tcW w:w="3589" w:type="dxa"/>
            <w:shd w:val="clear" w:color="auto" w:fill="auto"/>
            <w:vAlign w:val="center"/>
          </w:tcPr>
          <w:p w14:paraId="6ABE6DD6">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left"/>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满足报价要求且最后报价最低的供应商的价格为投标基准价，其价格分为满分。其他供应商的价格分统一按照下列公式计算：投标报价得分=(投标基准价/最后投标报价)×10。</w:t>
            </w:r>
          </w:p>
        </w:tc>
        <w:tc>
          <w:tcPr>
            <w:tcW w:w="779" w:type="dxa"/>
            <w:shd w:val="clear" w:color="auto" w:fill="auto"/>
            <w:vAlign w:val="center"/>
          </w:tcPr>
          <w:p w14:paraId="5245EA35">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10</w:t>
            </w:r>
          </w:p>
        </w:tc>
        <w:tc>
          <w:tcPr>
            <w:tcW w:w="1534" w:type="dxa"/>
            <w:shd w:val="clear" w:color="auto" w:fill="auto"/>
            <w:vAlign w:val="center"/>
          </w:tcPr>
          <w:p w14:paraId="0A08B118">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客观</w:t>
            </w:r>
          </w:p>
        </w:tc>
        <w:tc>
          <w:tcPr>
            <w:tcW w:w="1230" w:type="dxa"/>
            <w:shd w:val="clear" w:color="auto" w:fill="auto"/>
            <w:vAlign w:val="center"/>
          </w:tcPr>
          <w:p w14:paraId="389B8EB4">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报价表</w:t>
            </w:r>
          </w:p>
          <w:p w14:paraId="114CECDB">
            <w:pPr>
              <w:pStyle w:val="15"/>
              <w:keepNext w:val="0"/>
              <w:keepLines w:val="0"/>
              <w:pageBreakBefore w:val="0"/>
              <w:widowControl/>
              <w:kinsoku/>
              <w:wordWrap/>
              <w:overflowPunct/>
              <w:topLinePunct w:val="0"/>
              <w:autoSpaceDE/>
              <w:autoSpaceDN/>
              <w:bidi w:val="0"/>
              <w:adjustRightInd/>
              <w:snapToGrid/>
              <w:spacing w:line="320" w:lineRule="exact"/>
              <w:ind w:firstLine="0" w:firstLineChars="0"/>
              <w:jc w:val="center"/>
              <w:textAlignment w:val="auto"/>
              <w:rPr>
                <w:rFonts w:hint="eastAsia" w:ascii="仿宋_GB2312" w:hAnsi="Times New Roman" w:eastAsia="仿宋_GB2312" w:cs="Arial"/>
                <w:kern w:val="2"/>
                <w:sz w:val="24"/>
                <w:szCs w:val="24"/>
                <w:lang w:val="en-US" w:eastAsia="zh-CN" w:bidi="ar-SA"/>
              </w:rPr>
            </w:pPr>
            <w:r>
              <w:rPr>
                <w:rFonts w:hint="eastAsia" w:ascii="仿宋_GB2312" w:hAnsi="Times New Roman" w:eastAsia="仿宋_GB2312" w:cs="Arial"/>
                <w:kern w:val="2"/>
                <w:sz w:val="24"/>
                <w:szCs w:val="24"/>
                <w:lang w:val="en-US" w:eastAsia="zh-CN" w:bidi="ar-SA"/>
              </w:rPr>
              <w:t>分项报价表</w:t>
            </w:r>
          </w:p>
        </w:tc>
      </w:tr>
    </w:tbl>
    <w:p w14:paraId="2CC9F8C8">
      <w:pPr>
        <w:pStyle w:val="15"/>
        <w:spacing w:line="480" w:lineRule="exact"/>
        <w:ind w:firstLine="640" w:firstLineChars="200"/>
        <w:rPr>
          <w:rFonts w:hint="eastAsia" w:ascii="仿宋_GB2312" w:hAnsi="Times New Roman" w:eastAsia="仿宋_GB2312" w:cs="Arial"/>
          <w:kern w:val="2"/>
          <w:sz w:val="32"/>
          <w:szCs w:val="32"/>
          <w:lang w:val="en-US" w:eastAsia="zh-CN" w:bidi="ar-SA"/>
        </w:rPr>
      </w:pPr>
    </w:p>
    <w:p w14:paraId="13DB0477">
      <w:pPr>
        <w:ind w:firstLine="648"/>
        <w:jc w:val="right"/>
        <w:rPr>
          <w:rFonts w:hint="eastAsia" w:ascii="仿宋_GB2312" w:eastAsia="仿宋_GB2312"/>
          <w:sz w:val="32"/>
          <w:szCs w:val="32"/>
        </w:rPr>
      </w:pPr>
    </w:p>
    <w:sectPr>
      <w:pgSz w:w="11906" w:h="16838"/>
      <w:pgMar w:top="2098" w:right="1474" w:bottom="1985"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Luxi Sans">
    <w:altName w:val="Segoe Print"/>
    <w:panose1 w:val="00000000000000000000"/>
    <w:charset w:val="00"/>
    <w:family w:val="auto"/>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9C5CBB"/>
    <w:multiLevelType w:val="multilevel"/>
    <w:tmpl w:val="2E9C5CBB"/>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5"/>
  </w:compat>
  <w:rsids>
    <w:rsidRoot w:val="00000000"/>
    <w:rsid w:val="15AF4D67"/>
    <w:rsid w:val="19F9D7BC"/>
    <w:rsid w:val="2CFF447D"/>
    <w:rsid w:val="317609EE"/>
    <w:rsid w:val="5BDF75DB"/>
    <w:rsid w:val="5FBDAEE3"/>
    <w:rsid w:val="670051FF"/>
    <w:rsid w:val="753F13CA"/>
    <w:rsid w:val="7FFB3B73"/>
    <w:rsid w:val="AFEEDB73"/>
    <w:rsid w:val="B57B641B"/>
    <w:rsid w:val="BCF95D12"/>
    <w:rsid w:val="C7F5C7D2"/>
    <w:rsid w:val="F69FC5DB"/>
    <w:rsid w:val="FCB5395C"/>
    <w:rsid w:val="FFDF107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Times New Roman" w:eastAsia="等线" w:cs="Arial"/>
      <w:kern w:val="2"/>
      <w:sz w:val="21"/>
      <w:szCs w:val="22"/>
      <w:lang w:val="en-US" w:eastAsia="zh-CN" w:bidi="ar-SA"/>
    </w:rPr>
  </w:style>
  <w:style w:type="paragraph" w:styleId="3">
    <w:name w:val="heading 1"/>
    <w:basedOn w:val="1"/>
    <w:next w:val="1"/>
    <w:qFormat/>
    <w:uiPriority w:val="0"/>
    <w:pPr>
      <w:keepNext/>
      <w:keepLines/>
      <w:widowControl w:val="0"/>
      <w:spacing w:before="340" w:after="330" w:line="578" w:lineRule="auto"/>
      <w:outlineLvl w:val="0"/>
    </w:pPr>
    <w:rPr>
      <w:b/>
      <w:bCs/>
      <w:kern w:val="44"/>
      <w:sz w:val="44"/>
    </w:rPr>
  </w:style>
  <w:style w:type="paragraph" w:styleId="4">
    <w:name w:val="heading 2"/>
    <w:basedOn w:val="1"/>
    <w:next w:val="1"/>
    <w:qFormat/>
    <w:uiPriority w:val="0"/>
    <w:pPr>
      <w:keepNext/>
      <w:keepLines/>
      <w:widowControl w:val="0"/>
      <w:spacing w:before="260" w:after="260" w:line="415" w:lineRule="auto"/>
      <w:outlineLvl w:val="1"/>
    </w:pPr>
    <w:rPr>
      <w:rFonts w:ascii="Luxi Sans" w:hAnsi="Luxi Sans" w:eastAsia="黑体"/>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5"/>
    <w:basedOn w:val="1"/>
    <w:next w:val="1"/>
    <w:unhideWhenUsed/>
    <w:qFormat/>
    <w:uiPriority w:val="0"/>
    <w:pPr>
      <w:keepNext/>
      <w:keepLines/>
      <w:spacing w:before="280" w:after="290" w:line="376" w:lineRule="auto"/>
      <w:outlineLvl w:val="4"/>
    </w:pPr>
    <w:rPr>
      <w:b/>
      <w:bCs/>
      <w:sz w:val="28"/>
      <w:szCs w:val="28"/>
    </w:rPr>
  </w:style>
  <w:style w:type="character" w:default="1" w:styleId="13">
    <w:name w:val="Default Paragraph Font"/>
    <w:qFormat/>
    <w:uiPriority w:val="0"/>
  </w:style>
  <w:style w:type="table" w:default="1" w:styleId="12">
    <w:name w:val="Normal Table"/>
    <w:semiHidden/>
    <w:unhideWhenUsed/>
    <w:qFormat/>
    <w:uiPriority w:val="99"/>
    <w:tblPr>
      <w:tblCellMar>
        <w:top w:w="0" w:type="dxa"/>
        <w:left w:w="108" w:type="dxa"/>
        <w:bottom w:w="0" w:type="dxa"/>
        <w:right w:w="108" w:type="dxa"/>
      </w:tblCellMar>
    </w:tblPr>
  </w:style>
  <w:style w:type="paragraph" w:customStyle="1" w:styleId="2">
    <w:name w:val="正文1"/>
    <w:next w:val="1"/>
    <w:qFormat/>
    <w:uiPriority w:val="0"/>
    <w:pPr>
      <w:widowControl w:val="0"/>
      <w:kinsoku w:val="0"/>
      <w:overflowPunct w:val="0"/>
      <w:autoSpaceDE w:val="0"/>
      <w:autoSpaceDN w:val="0"/>
      <w:adjustRightInd w:val="0"/>
      <w:snapToGrid w:val="0"/>
      <w:spacing w:line="360" w:lineRule="auto"/>
      <w:jc w:val="both"/>
    </w:pPr>
    <w:rPr>
      <w:rFonts w:ascii="Arial" w:hAnsi="Arial" w:eastAsia="宋体" w:cs="宋体"/>
      <w:sz w:val="21"/>
      <w:szCs w:val="21"/>
      <w:lang w:val="en-US" w:eastAsia="zh-CN" w:bidi="ar-SA"/>
    </w:rPr>
  </w:style>
  <w:style w:type="paragraph" w:styleId="8">
    <w:name w:val="Body Text"/>
    <w:basedOn w:val="1"/>
    <w:next w:val="1"/>
    <w:semiHidden/>
    <w:unhideWhenUsed/>
    <w:qFormat/>
    <w:uiPriority w:val="99"/>
    <w:pPr>
      <w:spacing w:after="120"/>
    </w:pPr>
  </w:style>
  <w:style w:type="paragraph" w:styleId="9">
    <w:name w:val="Balloon Text"/>
    <w:basedOn w:val="1"/>
    <w:qFormat/>
    <w:uiPriority w:val="0"/>
    <w:rPr>
      <w:sz w:val="18"/>
      <w:szCs w:val="18"/>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List Paragraph"/>
    <w:basedOn w:val="1"/>
    <w:qFormat/>
    <w:uiPriority w:val="0"/>
    <w:pPr>
      <w:ind w:firstLine="200" w:firstLineChars="200"/>
    </w:pPr>
  </w:style>
  <w:style w:type="paragraph" w:customStyle="1" w:styleId="15">
    <w:name w:val="null3"/>
    <w:hidden/>
    <w:qFormat/>
    <w:uiPriority w:val="0"/>
    <w:rPr>
      <w:rFonts w:hint="eastAsia" w:asciiTheme="minorHAnsi" w:hAnsiTheme="minorHAnsi" w:eastAsiaTheme="minorEastAsia" w:cstheme="minorBidi"/>
      <w:lang w:val="en-US" w:eastAsia="zh-Hans"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10</Pages>
  <Words>4489</Words>
  <Characters>4720</Characters>
  <Lines>66</Lines>
  <Paragraphs>32</Paragraphs>
  <TotalTime>1</TotalTime>
  <ScaleCrop>false</ScaleCrop>
  <LinksUpToDate>false</LinksUpToDate>
  <CharactersWithSpaces>4723</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2020-12-10T05:23:00Z</dcterms:created>
  <dc:creator>mi</dc:creator>
  <cp:lastModifiedBy>吴立群</cp:lastModifiedBy>
  <cp:lastPrinted>2024-11-15T18:05:00Z</cp:lastPrinted>
  <dcterms:modified xsi:type="dcterms:W3CDTF">2024-11-17T13:26:34Z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4F98F05D71E6445A8C40E5E0E9130CA2_13</vt:lpwstr>
  </property>
</Properties>
</file>