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09"/>
        <w:gridCol w:w="969"/>
        <w:gridCol w:w="6028"/>
      </w:tblGrid>
      <w:tr w14:paraId="538D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6" w:type="pct"/>
            <w:noWrap w:val="0"/>
            <w:vAlign w:val="center"/>
          </w:tcPr>
          <w:p w14:paraId="55CEB705">
            <w:pPr>
              <w:spacing w:line="240" w:lineRule="auto"/>
              <w:jc w:val="left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</w:pPr>
            <w:bookmarkStart w:id="0" w:name="_GoBack" w:colFirst="0" w:colLast="3"/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475" w:type="pct"/>
            <w:noWrap w:val="0"/>
            <w:vAlign w:val="center"/>
          </w:tcPr>
          <w:p w14:paraId="322E812A">
            <w:pPr>
              <w:spacing w:line="240" w:lineRule="auto"/>
              <w:jc w:val="left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69" w:type="pct"/>
            <w:noWrap w:val="0"/>
            <w:vAlign w:val="center"/>
          </w:tcPr>
          <w:p w14:paraId="740D2174">
            <w:pPr>
              <w:spacing w:line="240" w:lineRule="auto"/>
              <w:jc w:val="left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538" w:type="pct"/>
            <w:noWrap w:val="0"/>
            <w:vAlign w:val="center"/>
          </w:tcPr>
          <w:p w14:paraId="350FAAF5">
            <w:pPr>
              <w:spacing w:line="240" w:lineRule="auto"/>
              <w:jc w:val="left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评分标准</w:t>
            </w:r>
          </w:p>
        </w:tc>
      </w:tr>
      <w:bookmarkEnd w:id="0"/>
      <w:tr w14:paraId="1094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16" w:type="pct"/>
            <w:noWrap w:val="0"/>
            <w:vAlign w:val="center"/>
          </w:tcPr>
          <w:p w14:paraId="44681FAE"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5" w:type="pct"/>
            <w:noWrap w:val="0"/>
            <w:vAlign w:val="center"/>
          </w:tcPr>
          <w:p w14:paraId="5A827C4E"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569" w:type="pct"/>
            <w:noWrap w:val="0"/>
            <w:vAlign w:val="center"/>
          </w:tcPr>
          <w:p w14:paraId="586E484B">
            <w:pPr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3538" w:type="pct"/>
            <w:noWrap w:val="0"/>
            <w:vAlign w:val="center"/>
          </w:tcPr>
          <w:p w14:paraId="4BE871F3">
            <w:pPr>
              <w:spacing w:line="240" w:lineRule="auto"/>
              <w:jc w:val="left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报价不超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万元的最低报价为基准价，其价格分为满分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分。其他参选机构的价格分统一按照下列公式计算：</w:t>
            </w:r>
          </w:p>
          <w:p w14:paraId="4A450E86">
            <w:pPr>
              <w:shd w:val="clear"/>
              <w:tabs>
                <w:tab w:val="left" w:pos="0"/>
              </w:tabs>
              <w:adjustRightInd w:val="0"/>
              <w:snapToGrid w:val="0"/>
              <w:spacing w:line="360" w:lineRule="auto"/>
              <w:ind w:firstLine="211" w:firstLineChars="100"/>
              <w:rPr>
                <w:rFonts w:hint="eastAsia" w:ascii="方正小标宋_GBK" w:hAnsi="方正小标宋_GBK" w:eastAsia="方正小标宋_GBK" w:cs="方正小标宋_GBK"/>
                <w:color w:val="auto"/>
                <w:highlight w:val="none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</w:rPr>
              <w:t>报价得分=(基准价÷机构报价)×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highlight w:val="yellow"/>
              </w:rPr>
              <w:t>%×100。</w:t>
            </w:r>
          </w:p>
        </w:tc>
      </w:tr>
      <w:tr w14:paraId="00F1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noWrap w:val="0"/>
            <w:vAlign w:val="center"/>
          </w:tcPr>
          <w:p w14:paraId="3993B94E">
            <w:pPr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  <w:t>2</w:t>
            </w:r>
          </w:p>
        </w:tc>
        <w:tc>
          <w:tcPr>
            <w:tcW w:w="882" w:type="dxa"/>
            <w:noWrap w:val="0"/>
            <w:vAlign w:val="center"/>
          </w:tcPr>
          <w:p w14:paraId="7921490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  <w:t>服务方案</w:t>
            </w:r>
          </w:p>
          <w:p w14:paraId="58BCCDAC">
            <w:pPr>
              <w:spacing w:line="360" w:lineRule="auto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  <w:t>%</w:t>
            </w:r>
          </w:p>
        </w:tc>
        <w:tc>
          <w:tcPr>
            <w:tcW w:w="1057" w:type="dxa"/>
            <w:noWrap w:val="0"/>
            <w:vAlign w:val="center"/>
          </w:tcPr>
          <w:p w14:paraId="34272E16">
            <w:pPr>
              <w:spacing w:line="360" w:lineRule="auto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  <w:t>分</w:t>
            </w:r>
          </w:p>
        </w:tc>
        <w:tc>
          <w:tcPr>
            <w:tcW w:w="6570" w:type="dxa"/>
            <w:noWrap w:val="0"/>
            <w:vAlign w:val="center"/>
          </w:tcPr>
          <w:p w14:paraId="0C9422C9">
            <w:pPr>
              <w:pStyle w:val="2"/>
              <w:spacing w:line="360" w:lineRule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  <w:t>根据供应商提供的服务方案进行评分，服务方案至少包含：①人员分工及岗位职责；②器材的配备；③质量保障措施；④拍摄进度保证措施；⑤应急与安全等。对以上内容进行综合评审，以上内容符合实际情况、完全响应采购要求的得40分，每有一项方案内容缺失或未涉及的扣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  <w:t>分；每有一项方案有缺陷扣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  <w:t>分；直至本项分值扣完为止；不提供方案或方案与本项目不相关的不得分。</w:t>
            </w:r>
          </w:p>
          <w:p w14:paraId="27673563">
            <w:pPr>
              <w:pStyle w:val="2"/>
              <w:spacing w:line="360" w:lineRule="auto"/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zh-CN" w:eastAsia="zh-CN" w:bidi="ar-SA"/>
              </w:rPr>
              <w:t>（缺陷是指：存在凭空编造、前后不一致、前后逻辑错误、涉及的规范及标准错误、地点区域错误、内容缺失、不符合项目实际情况等）。</w:t>
            </w:r>
          </w:p>
        </w:tc>
      </w:tr>
      <w:tr w14:paraId="463B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72" w:type="dxa"/>
            <w:noWrap w:val="0"/>
            <w:vAlign w:val="center"/>
          </w:tcPr>
          <w:p w14:paraId="4FC1A4B8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82" w:type="dxa"/>
            <w:noWrap w:val="0"/>
            <w:vAlign w:val="center"/>
          </w:tcPr>
          <w:p w14:paraId="5EB88D33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履约能力20%</w:t>
            </w:r>
          </w:p>
        </w:tc>
        <w:tc>
          <w:tcPr>
            <w:tcW w:w="1057" w:type="dxa"/>
            <w:noWrap w:val="0"/>
            <w:vAlign w:val="center"/>
          </w:tcPr>
          <w:p w14:paraId="60810EA0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20分</w:t>
            </w:r>
          </w:p>
        </w:tc>
        <w:tc>
          <w:tcPr>
            <w:tcW w:w="6570" w:type="dxa"/>
            <w:noWrap w:val="0"/>
            <w:vAlign w:val="center"/>
          </w:tcPr>
          <w:p w14:paraId="737952D1">
            <w:pPr>
              <w:spacing w:line="480" w:lineRule="exact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近三年（2022年1月1日）以来，类似业绩（纪录片、宣传片、新闻类视频），每个得5分，本小项最多得20分。</w:t>
            </w:r>
          </w:p>
          <w:p w14:paraId="2F890A69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备注：业绩证明指所提供每项业绩的中标通知书或合同协议书复印件（扫描件），否则该项业绩不计分。</w:t>
            </w:r>
          </w:p>
        </w:tc>
      </w:tr>
      <w:tr w14:paraId="11F1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72" w:type="dxa"/>
            <w:noWrap w:val="0"/>
            <w:vAlign w:val="center"/>
          </w:tcPr>
          <w:p w14:paraId="000F6A18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82" w:type="dxa"/>
            <w:noWrap w:val="0"/>
            <w:vAlign w:val="center"/>
          </w:tcPr>
          <w:p w14:paraId="54161AA6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人员配置20%</w:t>
            </w:r>
          </w:p>
        </w:tc>
        <w:tc>
          <w:tcPr>
            <w:tcW w:w="1057" w:type="dxa"/>
            <w:noWrap w:val="0"/>
            <w:vAlign w:val="center"/>
          </w:tcPr>
          <w:p w14:paraId="42A9418D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20分</w:t>
            </w:r>
          </w:p>
        </w:tc>
        <w:tc>
          <w:tcPr>
            <w:tcW w:w="6570" w:type="dxa"/>
            <w:noWrap w:val="0"/>
            <w:vAlign w:val="center"/>
          </w:tcPr>
          <w:p w14:paraId="5984999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1.拟派项目负责人具有播音与主持艺术、广播电视编导本科及以上学历的得5分。</w:t>
            </w:r>
          </w:p>
          <w:p w14:paraId="73038F83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2.拟派团队成员（除项目负责人）专业为动画设计、广播电视编导专业，每具有一个专业的得2.5分，人员不重复得分，本项最多得15分。</w:t>
            </w:r>
          </w:p>
          <w:p w14:paraId="10DA8A5C">
            <w:pPr>
              <w:spacing w:line="480" w:lineRule="exact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注：1.以上人员提供学历证书复印件或相关专业证明材料复印件。</w:t>
            </w:r>
          </w:p>
        </w:tc>
      </w:tr>
    </w:tbl>
    <w:p w14:paraId="5BA048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A7ECF34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1A7F4393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58E8"/>
    <w:rsid w:val="097E649E"/>
    <w:rsid w:val="3E5029A7"/>
    <w:rsid w:val="538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lang w:val="zh-CN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kern w:val="28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autoRedefine/>
    <w:qFormat/>
    <w:uiPriority w:val="0"/>
    <w:rPr>
      <w:rFonts w:ascii="Times New Roman" w:hAnsi="Times New Roman" w:eastAsia="宋体" w:cs="宋体"/>
      <w:b/>
      <w:kern w:val="0"/>
      <w:sz w:val="22"/>
      <w:szCs w:val="22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2025-12-10T06:51:00Z</dcterms:created>
  <dc:creator>小王子</dc:creator>
  <cp:lastModifiedBy>小王子</cp:lastModifiedBy>
  <dcterms:modified xsi:type="dcterms:W3CDTF">2025-12-10T07:09:01Z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84F429F0891D4FB88FE71F14D592DDC3_11</vt:lpwstr>
  </property>
  <property fmtid="{D5CDD505-2E9C-101B-9397-08002B2CF9AE}" pid="4" name="KSOTemplateDocerSaveRecord">
    <vt:lpwstr>eyJoZGlkIjoiMjJmMjk4OTNiZTJkNzM2ZTY2ZTk4ZjYyMzc4OWYwOTUiLCJ1c2VySWQiOiI1OTA2MzA4ODcifQ==</vt:lpwstr>
  </property>
</Properties>
</file>